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3B806" w14:textId="07000D86" w:rsidR="009E7D0C" w:rsidRPr="00620EA6" w:rsidRDefault="009E7D0C" w:rsidP="00A33695">
      <w:pPr>
        <w:jc w:val="center"/>
        <w:rPr>
          <w:rFonts w:ascii="Times New Roman" w:hAnsi="Times New Roman"/>
          <w:sz w:val="24"/>
        </w:rPr>
      </w:pPr>
      <w:bookmarkStart w:id="0" w:name="_Toc262568021"/>
      <w:bookmarkStart w:id="1" w:name="_Toc295829847"/>
      <w:r w:rsidRPr="00620EA6">
        <w:rPr>
          <w:rFonts w:ascii="Times New Roman" w:hAnsi="Times New Roman"/>
          <w:sz w:val="24"/>
        </w:rPr>
        <w:t>EN</w:t>
      </w:r>
    </w:p>
    <w:p w14:paraId="2704A83C" w14:textId="77777777" w:rsidR="009E7D0C" w:rsidRPr="00620EA6" w:rsidRDefault="009E7D0C" w:rsidP="00A33695">
      <w:pPr>
        <w:jc w:val="center"/>
        <w:rPr>
          <w:rFonts w:ascii="Times New Roman" w:hAnsi="Times New Roman"/>
          <w:sz w:val="24"/>
        </w:rPr>
      </w:pPr>
    </w:p>
    <w:p w14:paraId="24333E7A" w14:textId="5D6FD9D5" w:rsidR="008D696E" w:rsidRPr="00620EA6" w:rsidRDefault="008D696E" w:rsidP="00A33695">
      <w:pPr>
        <w:jc w:val="center"/>
        <w:rPr>
          <w:rFonts w:ascii="Times New Roman" w:hAnsi="Times New Roman"/>
          <w:sz w:val="24"/>
        </w:rPr>
      </w:pPr>
      <w:r w:rsidRPr="00620EA6">
        <w:rPr>
          <w:rFonts w:ascii="Times New Roman" w:hAnsi="Times New Roman"/>
          <w:sz w:val="24"/>
        </w:rPr>
        <w:t>ANNEX II</w:t>
      </w:r>
    </w:p>
    <w:p w14:paraId="37362007" w14:textId="6FB5EC15" w:rsidR="002648B0" w:rsidRPr="00620EA6" w:rsidRDefault="008D696E" w:rsidP="00A33695">
      <w:pPr>
        <w:jc w:val="center"/>
        <w:rPr>
          <w:rFonts w:ascii="Times New Roman" w:hAnsi="Times New Roman"/>
          <w:sz w:val="24"/>
        </w:rPr>
      </w:pPr>
      <w:r w:rsidRPr="00620EA6">
        <w:rPr>
          <w:rFonts w:ascii="Times New Roman" w:hAnsi="Times New Roman"/>
          <w:sz w:val="24"/>
        </w:rPr>
        <w:t>‘</w:t>
      </w:r>
      <w:r w:rsidR="002648B0" w:rsidRPr="00620EA6">
        <w:rPr>
          <w:rFonts w:ascii="Times New Roman" w:hAnsi="Times New Roman"/>
          <w:sz w:val="24"/>
        </w:rPr>
        <w:t>ANNEX II</w:t>
      </w:r>
    </w:p>
    <w:p w14:paraId="0C61E1A5" w14:textId="77777777" w:rsidR="000F1AF3" w:rsidRPr="00620EA6" w:rsidRDefault="00D11E4C" w:rsidP="000F1AF3">
      <w:pPr>
        <w:jc w:val="center"/>
        <w:rPr>
          <w:rFonts w:ascii="Times New Roman" w:hAnsi="Times New Roman"/>
          <w:b/>
          <w:sz w:val="24"/>
          <w:lang w:eastAsia="de-DE"/>
        </w:rPr>
      </w:pPr>
      <w:r w:rsidRPr="00620EA6">
        <w:rPr>
          <w:rFonts w:ascii="Times New Roman" w:hAnsi="Times New Roman"/>
          <w:b/>
          <w:sz w:val="24"/>
          <w:lang w:eastAsia="de-DE"/>
        </w:rPr>
        <w:t xml:space="preserve">INSTRUCTIONS FOR </w:t>
      </w:r>
      <w:r w:rsidR="002648B0" w:rsidRPr="00620EA6">
        <w:rPr>
          <w:rFonts w:ascii="Times New Roman" w:hAnsi="Times New Roman"/>
          <w:b/>
          <w:sz w:val="24"/>
          <w:lang w:eastAsia="de-DE"/>
        </w:rPr>
        <w:t xml:space="preserve">REPORTING ON </w:t>
      </w:r>
      <w:r w:rsidR="00480A69" w:rsidRPr="00620EA6">
        <w:rPr>
          <w:rFonts w:ascii="Times New Roman" w:hAnsi="Times New Roman"/>
          <w:b/>
          <w:sz w:val="24"/>
          <w:lang w:eastAsia="de-DE"/>
        </w:rPr>
        <w:t xml:space="preserve">OWN FUNDS AND </w:t>
      </w:r>
      <w:r w:rsidR="002648B0" w:rsidRPr="00620EA6">
        <w:rPr>
          <w:rFonts w:ascii="Times New Roman" w:hAnsi="Times New Roman"/>
          <w:b/>
          <w:sz w:val="24"/>
          <w:lang w:eastAsia="de-DE"/>
        </w:rPr>
        <w:t>OWN FUNDS REQUIREMENTS</w:t>
      </w:r>
      <w:bookmarkStart w:id="2" w:name="_Toc264033192"/>
      <w:bookmarkEnd w:id="0"/>
      <w:bookmarkEnd w:id="1"/>
      <w:bookmarkEnd w:id="2"/>
      <w:r w:rsidR="000F1AF3" w:rsidRPr="00620EA6">
        <w:rPr>
          <w:rFonts w:ascii="Times New Roman" w:hAnsi="Times New Roman"/>
          <w:b/>
          <w:sz w:val="24"/>
          <w:lang w:eastAsia="de-DE"/>
        </w:rPr>
        <w:t xml:space="preserve">  </w:t>
      </w:r>
    </w:p>
    <w:p w14:paraId="6294B653" w14:textId="77777777" w:rsidR="000F1AF3" w:rsidRPr="00620EA6" w:rsidRDefault="000F1AF3" w:rsidP="000F1AF3">
      <w:pPr>
        <w:rPr>
          <w:rFonts w:ascii="Times New Roman" w:hAnsi="Times New Roman"/>
          <w:b/>
          <w:sz w:val="24"/>
          <w:lang w:eastAsia="de-DE"/>
        </w:rPr>
      </w:pPr>
    </w:p>
    <w:p w14:paraId="1330A6A8" w14:textId="3DC8FCBD" w:rsidR="000F1AF3" w:rsidRPr="00620EA6" w:rsidRDefault="000F1AF3" w:rsidP="000F1AF3">
      <w:pPr>
        <w:rPr>
          <w:rFonts w:ascii="Times New Roman" w:hAnsi="Times New Roman"/>
          <w:sz w:val="24"/>
        </w:rPr>
      </w:pPr>
      <w:r w:rsidRPr="00620EA6">
        <w:rPr>
          <w:rFonts w:ascii="Times New Roman" w:hAnsi="Times New Roman"/>
          <w:sz w:val="24"/>
        </w:rPr>
        <w:t>(…)</w:t>
      </w:r>
    </w:p>
    <w:p w14:paraId="4C764596" w14:textId="77777777" w:rsidR="000F1AF3" w:rsidRPr="00620EA6" w:rsidRDefault="000F1AF3" w:rsidP="000F1AF3">
      <w:pPr>
        <w:rPr>
          <w:rFonts w:ascii="Times New Roman" w:hAnsi="Times New Roman"/>
          <w:sz w:val="24"/>
        </w:rPr>
      </w:pPr>
    </w:p>
    <w:p w14:paraId="70585B10" w14:textId="77777777" w:rsidR="000F1AF3" w:rsidRPr="00620EA6" w:rsidRDefault="000F1AF3" w:rsidP="000F1AF3">
      <w:pPr>
        <w:pStyle w:val="Heading2"/>
        <w:rPr>
          <w:rFonts w:ascii="Times New Roman" w:hAnsi="Times New Roman"/>
          <w:lang w:val="en-GB"/>
        </w:rPr>
      </w:pPr>
      <w:bookmarkStart w:id="3" w:name="_Toc360188322"/>
      <w:bookmarkStart w:id="4" w:name="_Toc473560870"/>
      <w:bookmarkStart w:id="5" w:name="_Toc151714358"/>
      <w:r w:rsidRPr="00620EA6">
        <w:rPr>
          <w:rFonts w:ascii="Times New Roman" w:hAnsi="Times New Roman"/>
          <w:lang w:val="en-GB"/>
        </w:rPr>
        <w:t>PART II: TEMPLATE RELATED INSTRUCTIONS</w:t>
      </w:r>
      <w:bookmarkEnd w:id="3"/>
      <w:bookmarkEnd w:id="4"/>
      <w:bookmarkEnd w:id="5"/>
    </w:p>
    <w:p w14:paraId="7D438528" w14:textId="77777777" w:rsidR="00FD54FC" w:rsidRPr="00620EA6" w:rsidRDefault="00FD54FC" w:rsidP="00FD54FC">
      <w:pPr>
        <w:pStyle w:val="PlainText"/>
        <w:jc w:val="both"/>
        <w:rPr>
          <w:rFonts w:ascii="Times New Roman" w:hAnsi="Times New Roman"/>
          <w:sz w:val="24"/>
          <w:szCs w:val="24"/>
          <w:u w:val="single"/>
          <w:lang w:val="en-GB"/>
        </w:rPr>
      </w:pPr>
      <w:bookmarkStart w:id="6" w:name="_Toc473560939"/>
      <w:bookmarkStart w:id="7" w:name="_Toc473560940"/>
      <w:bookmarkStart w:id="8" w:name="_Toc473560941"/>
      <w:bookmarkStart w:id="9" w:name="_Toc473560942"/>
      <w:bookmarkStart w:id="10" w:name="_Toc473560943"/>
      <w:bookmarkStart w:id="11" w:name="_Toc473560944"/>
      <w:bookmarkStart w:id="12" w:name="_Toc473560945"/>
      <w:bookmarkStart w:id="13" w:name="_Toc473560946"/>
      <w:bookmarkStart w:id="14" w:name="_Toc473560947"/>
      <w:bookmarkStart w:id="15" w:name="_Toc473560948"/>
      <w:bookmarkStart w:id="16" w:name="_Toc473560949"/>
      <w:bookmarkStart w:id="17" w:name="_Toc473560950"/>
      <w:bookmarkStart w:id="18" w:name="_Toc473560951"/>
      <w:bookmarkStart w:id="19" w:name="_Toc473560952"/>
      <w:bookmarkStart w:id="20" w:name="_Toc473560953"/>
      <w:bookmarkStart w:id="21" w:name="_Toc473560954"/>
      <w:bookmarkStart w:id="22" w:name="_Toc473560955"/>
      <w:bookmarkStart w:id="23" w:name="_Toc473560956"/>
      <w:bookmarkStart w:id="24" w:name="_Toc473560957"/>
      <w:bookmarkStart w:id="25" w:name="_Toc473560958"/>
      <w:bookmarkStart w:id="26" w:name="_Toc473560959"/>
      <w:bookmarkStart w:id="27" w:name="_Toc473560960"/>
      <w:bookmarkStart w:id="28" w:name="_Toc473560961"/>
      <w:bookmarkStart w:id="29" w:name="_Toc473560962"/>
      <w:bookmarkStart w:id="30" w:name="_Toc473560963"/>
      <w:bookmarkStart w:id="31" w:name="_Toc473560964"/>
      <w:bookmarkStart w:id="32" w:name="_Toc473560965"/>
      <w:bookmarkStart w:id="33" w:name="_Toc473560966"/>
      <w:bookmarkStart w:id="34" w:name="_Toc473560967"/>
      <w:bookmarkStart w:id="35" w:name="_Toc473560968"/>
      <w:bookmarkStart w:id="36" w:name="_Toc473560969"/>
      <w:bookmarkStart w:id="37" w:name="_Toc473560970"/>
      <w:bookmarkStart w:id="38" w:name="_Toc473560989"/>
      <w:bookmarkStart w:id="39" w:name="_Toc473560990"/>
      <w:bookmarkStart w:id="40" w:name="_Toc473561022"/>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FA58919" w14:textId="77777777" w:rsidR="00FD54FC" w:rsidRPr="00620EA6" w:rsidRDefault="00FD54FC" w:rsidP="00FD54FC">
      <w:pPr>
        <w:spacing w:before="0" w:after="0"/>
        <w:jc w:val="left"/>
        <w:rPr>
          <w:rStyle w:val="InstructionsTabelleText"/>
          <w:rFonts w:ascii="Times New Roman" w:hAnsi="Times New Roman"/>
          <w:sz w:val="24"/>
        </w:rPr>
      </w:pPr>
    </w:p>
    <w:p w14:paraId="0C898FFA" w14:textId="358BC3DD" w:rsidR="00FD54FC" w:rsidRPr="00620EA6" w:rsidRDefault="00125707" w:rsidP="0023700C">
      <w:pPr>
        <w:pStyle w:val="Instructionsberschrift2"/>
        <w:numPr>
          <w:ilvl w:val="0"/>
          <w:numId w:val="0"/>
        </w:numPr>
        <w:ind w:left="357" w:hanging="357"/>
        <w:rPr>
          <w:rFonts w:ascii="Times New Roman" w:hAnsi="Times New Roman" w:cs="Times New Roman"/>
          <w:sz w:val="24"/>
          <w:lang w:val="en-GB"/>
        </w:rPr>
      </w:pPr>
      <w:bookmarkStart w:id="41" w:name="_Toc473561028"/>
      <w:bookmarkStart w:id="42" w:name="_Toc152862722"/>
      <w:r w:rsidRPr="00620EA6">
        <w:rPr>
          <w:rFonts w:ascii="Times New Roman" w:hAnsi="Times New Roman" w:cs="Times New Roman"/>
          <w:sz w:val="24"/>
          <w:u w:val="none"/>
          <w:lang w:val="en-GB"/>
        </w:rPr>
        <w:t>4.2.3.</w:t>
      </w:r>
      <w:r w:rsidRPr="00620EA6">
        <w:rPr>
          <w:rFonts w:ascii="Times New Roman" w:hAnsi="Times New Roman" w:cs="Times New Roman"/>
          <w:sz w:val="24"/>
          <w:u w:val="none"/>
          <w:lang w:val="en-GB"/>
        </w:rPr>
        <w:tab/>
      </w:r>
      <w:r w:rsidR="00D66381" w:rsidRPr="00620EA6">
        <w:rPr>
          <w:rFonts w:ascii="Times New Roman" w:hAnsi="Times New Roman" w:cs="Times New Roman"/>
          <w:sz w:val="24"/>
          <w:lang w:val="en-GB"/>
        </w:rPr>
        <w:t>C 17.01 OPERATIONAL RISK: OPERATIONAL LOSS EVENTS</w:t>
      </w:r>
      <w:bookmarkEnd w:id="41"/>
      <w:bookmarkEnd w:id="42"/>
    </w:p>
    <w:p w14:paraId="14652218" w14:textId="77777777" w:rsidR="00FD54FC" w:rsidRPr="00620EA6" w:rsidRDefault="00125707" w:rsidP="0023700C">
      <w:pPr>
        <w:pStyle w:val="Instructionsberschrift2"/>
        <w:numPr>
          <w:ilvl w:val="0"/>
          <w:numId w:val="0"/>
        </w:numPr>
        <w:ind w:left="357" w:hanging="357"/>
        <w:rPr>
          <w:rFonts w:ascii="Times New Roman" w:hAnsi="Times New Roman" w:cs="Times New Roman"/>
          <w:sz w:val="24"/>
          <w:lang w:val="en-GB"/>
        </w:rPr>
      </w:pPr>
      <w:bookmarkStart w:id="43" w:name="_Toc473561029"/>
      <w:bookmarkStart w:id="44" w:name="_Toc152862723"/>
      <w:r w:rsidRPr="00620EA6">
        <w:rPr>
          <w:rFonts w:ascii="Times New Roman" w:hAnsi="Times New Roman" w:cs="Times New Roman"/>
          <w:sz w:val="24"/>
          <w:u w:val="none"/>
          <w:lang w:val="en-GB"/>
        </w:rPr>
        <w:t>4.2.3.1.</w:t>
      </w:r>
      <w:r w:rsidRPr="00620EA6">
        <w:rPr>
          <w:rFonts w:ascii="Times New Roman" w:hAnsi="Times New Roman" w:cs="Times New Roman"/>
          <w:sz w:val="24"/>
          <w:u w:val="none"/>
          <w:lang w:val="en-GB"/>
        </w:rPr>
        <w:tab/>
      </w:r>
      <w:r w:rsidR="00FD54FC" w:rsidRPr="00620EA6">
        <w:rPr>
          <w:rFonts w:ascii="Times New Roman" w:hAnsi="Times New Roman" w:cs="Times New Roman"/>
          <w:sz w:val="24"/>
          <w:lang w:val="en-GB"/>
        </w:rPr>
        <w:t>General Remarks</w:t>
      </w:r>
      <w:bookmarkEnd w:id="43"/>
      <w:bookmarkEnd w:id="44"/>
    </w:p>
    <w:p w14:paraId="06D9B602" w14:textId="6CB67FF2" w:rsidR="00FD54FC" w:rsidRPr="00620EA6" w:rsidRDefault="00771068" w:rsidP="00E434A1">
      <w:pPr>
        <w:pStyle w:val="InstructionsText2"/>
        <w:numPr>
          <w:ilvl w:val="0"/>
          <w:numId w:val="0"/>
        </w:numPr>
      </w:pPr>
      <w:r>
        <w:fldChar w:fldCharType="begin"/>
      </w:r>
      <w:r>
        <w:instrText xml:space="preserve"> seq paragraphs </w:instrText>
      </w:r>
      <w:r>
        <w:fldChar w:fldCharType="separate"/>
      </w:r>
      <w:r w:rsidRPr="00620EA6">
        <w:rPr>
          <w:noProof/>
        </w:rPr>
        <w:t>15</w:t>
      </w:r>
      <w:r>
        <w:rPr>
          <w:noProof/>
        </w:rPr>
        <w:fldChar w:fldCharType="end"/>
      </w:r>
      <w:r w:rsidR="00490434" w:rsidRPr="00620EA6">
        <w:rPr>
          <w:noProof/>
        </w:rPr>
        <w:t>4</w:t>
      </w:r>
      <w:r w:rsidR="00125707" w:rsidRPr="00620EA6">
        <w:t>.</w:t>
      </w:r>
      <w:r w:rsidR="005C14B0" w:rsidRPr="00620EA6">
        <w:t xml:space="preserve"> </w:t>
      </w:r>
      <w:r w:rsidR="00FD54FC" w:rsidRPr="00620EA6">
        <w:t>In template C 17.</w:t>
      </w:r>
      <w:r w:rsidR="000E4236" w:rsidRPr="00620EA6">
        <w:t>01,</w:t>
      </w:r>
      <w:r w:rsidR="00FD54FC" w:rsidRPr="00620EA6">
        <w:t xml:space="preserve"> information on individual loss events shall be provided (one row per </w:t>
      </w:r>
      <w:r w:rsidR="00EB6FC2" w:rsidRPr="00620EA6">
        <w:t xml:space="preserve">loss </w:t>
      </w:r>
      <w:r w:rsidR="00FD54FC" w:rsidRPr="00620EA6">
        <w:t>event).</w:t>
      </w:r>
    </w:p>
    <w:p w14:paraId="68F397FB" w14:textId="71BFD3FB" w:rsidR="00490434" w:rsidRPr="00620EA6" w:rsidRDefault="00490434" w:rsidP="00E434A1">
      <w:pPr>
        <w:pStyle w:val="InstructionsText2"/>
        <w:numPr>
          <w:ilvl w:val="0"/>
          <w:numId w:val="0"/>
        </w:numPr>
      </w:pPr>
      <w:r w:rsidRPr="00620EA6">
        <w:t>155. Information on individual loss events should be reported twice a year. The figures reported in June of the respective year shall be interim figures, while the final figures shall be reported in December. Therefore, the figures in June shall have a six-month reference period (i.e. from 1 January to 30 June of the calendar year) while the figures in December shall have a twelve-month reference period (i.e. from 1 January to 31 December of the calendar year). Both for data reported in June and December, “previous reporting reference periods” shall mean all reporting reference periods until and including the one ending at the preceding calendar year end.</w:t>
      </w:r>
    </w:p>
    <w:p w14:paraId="0D60A55D" w14:textId="664F5C0B" w:rsidR="00FD54FC" w:rsidRPr="00620EA6" w:rsidRDefault="00771068" w:rsidP="00FE6B3D">
      <w:pPr>
        <w:pStyle w:val="InstructionsText2"/>
        <w:numPr>
          <w:ilvl w:val="0"/>
          <w:numId w:val="0"/>
        </w:numPr>
      </w:pPr>
      <w:r>
        <w:fldChar w:fldCharType="begin"/>
      </w:r>
      <w:r>
        <w:instrText xml:space="preserve"> seq paragraphs </w:instrText>
      </w:r>
      <w:r>
        <w:fldChar w:fldCharType="separate"/>
      </w:r>
      <w:r w:rsidRPr="00620EA6">
        <w:rPr>
          <w:noProof/>
        </w:rPr>
        <w:t>156</w:t>
      </w:r>
      <w:r>
        <w:rPr>
          <w:noProof/>
        </w:rPr>
        <w:fldChar w:fldCharType="end"/>
      </w:r>
      <w:r w:rsidR="00125707" w:rsidRPr="00620EA6">
        <w:t>.</w:t>
      </w:r>
      <w:r w:rsidR="00125707" w:rsidRPr="00620EA6">
        <w:tab/>
      </w:r>
      <w:r w:rsidR="005C14B0" w:rsidRPr="00620EA6">
        <w:t xml:space="preserve"> </w:t>
      </w:r>
      <w:r w:rsidR="00FD54FC" w:rsidRPr="00620EA6">
        <w:t>The information reported in this template shall refer to “new events”</w:t>
      </w:r>
      <w:r w:rsidR="00E720F8" w:rsidRPr="00620EA6">
        <w:t xml:space="preserve">, i.e. operational risk events “accounted for the first time” </w:t>
      </w:r>
      <w:r w:rsidR="00FE6B3D" w:rsidRPr="00620EA6">
        <w:t xml:space="preserve">in the period of the reporting reference date, and loss adjustments related </w:t>
      </w:r>
      <w:r w:rsidR="0059217B" w:rsidRPr="00620EA6">
        <w:t xml:space="preserve">either to an event never reported so far or </w:t>
      </w:r>
      <w:r w:rsidR="00FE6B3D" w:rsidRPr="00620EA6">
        <w:t>to previous</w:t>
      </w:r>
      <w:r w:rsidR="00490434" w:rsidRPr="00620EA6">
        <w:t>ly</w:t>
      </w:r>
      <w:r w:rsidR="00FE6B3D" w:rsidRPr="00620EA6">
        <w:t xml:space="preserve"> report</w:t>
      </w:r>
      <w:r w:rsidR="0059217B" w:rsidRPr="00620EA6">
        <w:t>ed events</w:t>
      </w:r>
      <w:r w:rsidR="00FE6B3D" w:rsidRPr="00620EA6">
        <w:t>.</w:t>
      </w:r>
    </w:p>
    <w:p w14:paraId="0F12FB29" w14:textId="441F9D69" w:rsidR="00490434" w:rsidRPr="00620EA6" w:rsidRDefault="00771068" w:rsidP="00490434">
      <w:pPr>
        <w:pStyle w:val="InstructionsText2"/>
        <w:numPr>
          <w:ilvl w:val="0"/>
          <w:numId w:val="0"/>
        </w:numPr>
      </w:pPr>
      <w:r>
        <w:fldChar w:fldCharType="begin"/>
      </w:r>
      <w:r>
        <w:instrText xml:space="preserve"> seq paragraphs </w:instrText>
      </w:r>
      <w:r>
        <w:fldChar w:fldCharType="separate"/>
      </w:r>
      <w:r w:rsidRPr="00620EA6">
        <w:rPr>
          <w:noProof/>
        </w:rPr>
        <w:t>157</w:t>
      </w:r>
      <w:r>
        <w:rPr>
          <w:noProof/>
        </w:rPr>
        <w:fldChar w:fldCharType="end"/>
      </w:r>
      <w:r w:rsidR="00125707" w:rsidRPr="00620EA6">
        <w:t>.</w:t>
      </w:r>
      <w:r w:rsidR="005C14B0" w:rsidRPr="00620EA6">
        <w:t xml:space="preserve"> </w:t>
      </w:r>
      <w:r w:rsidR="00FD54FC" w:rsidRPr="00620EA6">
        <w:t xml:space="preserve">Only </w:t>
      </w:r>
      <w:r w:rsidR="00EB6FC2" w:rsidRPr="00620EA6">
        <w:t xml:space="preserve">loss </w:t>
      </w:r>
      <w:r w:rsidR="00FD54FC" w:rsidRPr="00620EA6">
        <w:t xml:space="preserve">events entailing a gross loss amount of </w:t>
      </w:r>
      <w:r w:rsidR="008D696E" w:rsidRPr="00620EA6">
        <w:t>EUR</w:t>
      </w:r>
      <w:r w:rsidR="000E4236" w:rsidRPr="00620EA6">
        <w:t xml:space="preserve"> 20</w:t>
      </w:r>
      <w:r w:rsidR="00FD54FC" w:rsidRPr="00620EA6">
        <w:t>,000</w:t>
      </w:r>
      <w:r w:rsidR="00402284" w:rsidRPr="00620EA6">
        <w:t xml:space="preserve"> </w:t>
      </w:r>
      <w:r w:rsidR="00FD54FC" w:rsidRPr="00620EA6">
        <w:t xml:space="preserve">or more </w:t>
      </w:r>
      <w:r w:rsidR="00AA6A66" w:rsidRPr="00620EA6">
        <w:t>shall be</w:t>
      </w:r>
      <w:r w:rsidR="00FD54FC" w:rsidRPr="00620EA6">
        <w:t xml:space="preserve"> reported.</w:t>
      </w:r>
      <w:r w:rsidR="00490434" w:rsidRPr="00620EA6">
        <w:t xml:space="preserve"> Furthermore, any subsequent adjustments to previously reported loss events (either positive or negative) must also be reported if the cumulative gross loss amount (before and after the adjustment) meets or exceeds the EUR 20,000 threshold. This applies irrespective of the size of the adjustment itself. In cases where a negative adjustment causes the cumulative gross loss amount to fall below the EUR 20,000 threshold, the loss event should </w:t>
      </w:r>
      <w:proofErr w:type="gramStart"/>
      <w:r w:rsidR="00490434" w:rsidRPr="00620EA6">
        <w:t>still remain</w:t>
      </w:r>
      <w:proofErr w:type="gramEnd"/>
      <w:r w:rsidR="00490434" w:rsidRPr="00620EA6">
        <w:t xml:space="preserve"> reported, with the updated adjusted amount noted in the reporting. Loss events should not be removed from reporting solely due to adjustments bringing the cumulative amount below the threshold.</w:t>
      </w:r>
    </w:p>
    <w:p w14:paraId="7FAC47A3" w14:textId="3107F2F3" w:rsidR="00FD54FC" w:rsidRPr="00620EA6" w:rsidRDefault="00125707" w:rsidP="0023700C">
      <w:pPr>
        <w:pStyle w:val="Instructionsberschrift2"/>
        <w:numPr>
          <w:ilvl w:val="0"/>
          <w:numId w:val="0"/>
        </w:numPr>
        <w:ind w:left="357" w:hanging="357"/>
        <w:rPr>
          <w:rFonts w:ascii="Times New Roman" w:hAnsi="Times New Roman" w:cs="Times New Roman"/>
          <w:sz w:val="24"/>
          <w:lang w:val="en-GB"/>
        </w:rPr>
      </w:pPr>
      <w:bookmarkStart w:id="45" w:name="_Toc473561030"/>
      <w:bookmarkStart w:id="46" w:name="_Toc152862724"/>
      <w:r w:rsidRPr="00620EA6">
        <w:rPr>
          <w:rFonts w:ascii="Times New Roman" w:hAnsi="Times New Roman" w:cs="Times New Roman"/>
          <w:sz w:val="24"/>
          <w:u w:val="none"/>
          <w:lang w:val="en-GB"/>
        </w:rPr>
        <w:t>4.2.3.2.</w:t>
      </w:r>
      <w:r w:rsidRPr="00620EA6">
        <w:rPr>
          <w:rFonts w:ascii="Times New Roman" w:hAnsi="Times New Roman" w:cs="Times New Roman"/>
          <w:sz w:val="24"/>
          <w:u w:val="none"/>
          <w:lang w:val="en-GB"/>
        </w:rPr>
        <w:tab/>
      </w:r>
      <w:r w:rsidR="00FD54FC" w:rsidRPr="00620EA6">
        <w:rPr>
          <w:rFonts w:ascii="Times New Roman" w:hAnsi="Times New Roman" w:cs="Times New Roman"/>
          <w:sz w:val="24"/>
          <w:lang w:val="en-GB"/>
        </w:rPr>
        <w:t>Instructions concerning specific positions</w:t>
      </w:r>
      <w:bookmarkEnd w:id="45"/>
      <w:bookmarkEnd w:id="46"/>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7551"/>
      </w:tblGrid>
      <w:tr w:rsidR="00E720F8" w:rsidRPr="00620EA6" w14:paraId="13D833AA" w14:textId="77777777" w:rsidTr="000C47EB">
        <w:tc>
          <w:tcPr>
            <w:tcW w:w="9062" w:type="dxa"/>
            <w:gridSpan w:val="2"/>
            <w:shd w:val="clear" w:color="auto" w:fill="BFBFBF"/>
          </w:tcPr>
          <w:p w14:paraId="2D46E552" w14:textId="77777777" w:rsidR="00E720F8" w:rsidRPr="00620EA6" w:rsidRDefault="00E720F8" w:rsidP="000C47EB">
            <w:pPr>
              <w:rPr>
                <w:rFonts w:ascii="Times New Roman" w:hAnsi="Times New Roman"/>
                <w:sz w:val="24"/>
              </w:rPr>
            </w:pPr>
            <w:r w:rsidRPr="00620EA6">
              <w:rPr>
                <w:rFonts w:ascii="Times New Roman" w:hAnsi="Times New Roman"/>
                <w:b/>
                <w:bCs/>
                <w:sz w:val="24"/>
                <w:lang w:eastAsia="nl-BE"/>
              </w:rPr>
              <w:t>Columns</w:t>
            </w:r>
          </w:p>
        </w:tc>
      </w:tr>
      <w:tr w:rsidR="00E720F8" w:rsidRPr="00620EA6" w14:paraId="175C5F95" w14:textId="77777777" w:rsidTr="00E132C3">
        <w:tc>
          <w:tcPr>
            <w:tcW w:w="1511" w:type="dxa"/>
          </w:tcPr>
          <w:p w14:paraId="6842AF10" w14:textId="77777777" w:rsidR="00E720F8" w:rsidRPr="00620EA6" w:rsidRDefault="00E720F8" w:rsidP="000C47EB">
            <w:pPr>
              <w:rPr>
                <w:rFonts w:ascii="Times New Roman" w:hAnsi="Times New Roman"/>
                <w:sz w:val="24"/>
                <w:lang w:eastAsia="de-DE"/>
              </w:rPr>
            </w:pPr>
            <w:r w:rsidRPr="00620EA6">
              <w:rPr>
                <w:rFonts w:ascii="Times New Roman" w:hAnsi="Times New Roman"/>
                <w:sz w:val="24"/>
                <w:lang w:eastAsia="de-DE"/>
              </w:rPr>
              <w:t>0010</w:t>
            </w:r>
          </w:p>
        </w:tc>
        <w:tc>
          <w:tcPr>
            <w:tcW w:w="7551" w:type="dxa"/>
          </w:tcPr>
          <w:p w14:paraId="6142DC64" w14:textId="77777777" w:rsidR="00E720F8" w:rsidRPr="00620EA6" w:rsidRDefault="00E720F8" w:rsidP="000C47EB">
            <w:pPr>
              <w:rPr>
                <w:rFonts w:ascii="Times New Roman" w:hAnsi="Times New Roman"/>
                <w:sz w:val="24"/>
                <w:lang w:eastAsia="de-DE"/>
              </w:rPr>
            </w:pPr>
            <w:r w:rsidRPr="00620EA6">
              <w:rPr>
                <w:rStyle w:val="InstructionsTabelleberschrift"/>
                <w:rFonts w:ascii="Times New Roman" w:hAnsi="Times New Roman"/>
                <w:sz w:val="24"/>
              </w:rPr>
              <w:t>Event ID</w:t>
            </w:r>
          </w:p>
          <w:p w14:paraId="5D0DD187" w14:textId="6BF73862" w:rsidR="00E720F8" w:rsidRPr="00620EA6" w:rsidRDefault="00E720F8" w:rsidP="000C47EB">
            <w:pPr>
              <w:rPr>
                <w:rFonts w:ascii="Times New Roman" w:hAnsi="Times New Roman"/>
                <w:sz w:val="24"/>
                <w:lang w:eastAsia="de-DE"/>
              </w:rPr>
            </w:pPr>
            <w:r w:rsidRPr="00620EA6">
              <w:rPr>
                <w:rFonts w:ascii="Times New Roman" w:hAnsi="Times New Roman"/>
                <w:sz w:val="24"/>
                <w:lang w:eastAsia="de-DE"/>
              </w:rPr>
              <w:lastRenderedPageBreak/>
              <w:t xml:space="preserve">The </w:t>
            </w:r>
            <w:r w:rsidRPr="00620EA6">
              <w:rPr>
                <w:rFonts w:ascii="Times New Roman" w:hAnsi="Times New Roman"/>
                <w:i/>
                <w:iCs/>
                <w:sz w:val="24"/>
                <w:lang w:eastAsia="de-DE"/>
              </w:rPr>
              <w:t>Event ID</w:t>
            </w:r>
            <w:r w:rsidRPr="00620EA6">
              <w:rPr>
                <w:rFonts w:ascii="Times New Roman" w:hAnsi="Times New Roman"/>
                <w:sz w:val="24"/>
                <w:lang w:eastAsia="de-DE"/>
              </w:rPr>
              <w:t xml:space="preserve"> is a unique and persistent identifier used </w:t>
            </w:r>
            <w:r w:rsidR="00490434" w:rsidRPr="00620EA6">
              <w:rPr>
                <w:rFonts w:ascii="Times New Roman" w:hAnsi="Times New Roman"/>
                <w:sz w:val="24"/>
                <w:lang w:eastAsia="de-DE"/>
              </w:rPr>
              <w:t xml:space="preserve">consistently across time </w:t>
            </w:r>
            <w:r w:rsidRPr="00620EA6">
              <w:rPr>
                <w:rFonts w:ascii="Times New Roman" w:hAnsi="Times New Roman"/>
                <w:sz w:val="24"/>
                <w:lang w:eastAsia="de-DE"/>
              </w:rPr>
              <w:t>to unambiguously identify an operational risk event within the template and to enable the consolidation of records referring to the same event, including across multiple entities at group level.</w:t>
            </w:r>
          </w:p>
          <w:p w14:paraId="762C02C7" w14:textId="77777777" w:rsidR="00E720F8" w:rsidRPr="00620EA6" w:rsidRDefault="00E720F8" w:rsidP="000C47EB">
            <w:pPr>
              <w:rPr>
                <w:rFonts w:ascii="Times New Roman" w:hAnsi="Times New Roman"/>
                <w:sz w:val="24"/>
                <w:lang w:eastAsia="de-DE"/>
              </w:rPr>
            </w:pPr>
            <w:r w:rsidRPr="00620EA6">
              <w:rPr>
                <w:rFonts w:ascii="Times New Roman" w:hAnsi="Times New Roman"/>
                <w:sz w:val="24"/>
                <w:lang w:eastAsia="de-DE"/>
              </w:rPr>
              <w:t xml:space="preserve">Institutions shall report a </w:t>
            </w:r>
            <w:r w:rsidRPr="00620EA6">
              <w:rPr>
                <w:rFonts w:ascii="Times New Roman" w:hAnsi="Times New Roman"/>
                <w:b/>
                <w:bCs/>
                <w:sz w:val="24"/>
                <w:lang w:eastAsia="de-DE"/>
              </w:rPr>
              <w:t>progressive reference number</w:t>
            </w:r>
            <w:r w:rsidRPr="00620EA6">
              <w:rPr>
                <w:rFonts w:ascii="Times New Roman" w:hAnsi="Times New Roman"/>
                <w:sz w:val="24"/>
                <w:lang w:eastAsia="de-DE"/>
              </w:rPr>
              <w:t xml:space="preserve"> that uniquely identifies each operational risk event within their internal systems.</w:t>
            </w:r>
          </w:p>
          <w:p w14:paraId="11738B3A" w14:textId="77777777" w:rsidR="00E720F8" w:rsidRPr="00620EA6" w:rsidRDefault="00E720F8" w:rsidP="000C47EB">
            <w:pPr>
              <w:rPr>
                <w:rFonts w:ascii="Times New Roman" w:hAnsi="Times New Roman"/>
                <w:sz w:val="24"/>
                <w:lang w:eastAsia="de-DE"/>
              </w:rPr>
            </w:pPr>
            <w:r w:rsidRPr="00620EA6">
              <w:rPr>
                <w:rFonts w:ascii="Times New Roman" w:hAnsi="Times New Roman"/>
                <w:sz w:val="24"/>
                <w:lang w:eastAsia="de-DE"/>
              </w:rPr>
              <w:t xml:space="preserve">The progressive numbering shall be </w:t>
            </w:r>
            <w:r w:rsidRPr="00620EA6">
              <w:rPr>
                <w:rFonts w:ascii="Times New Roman" w:hAnsi="Times New Roman"/>
                <w:b/>
                <w:bCs/>
                <w:sz w:val="24"/>
                <w:lang w:eastAsia="de-DE"/>
              </w:rPr>
              <w:t>continuous over time</w:t>
            </w:r>
            <w:r w:rsidRPr="00620EA6">
              <w:rPr>
                <w:rFonts w:ascii="Times New Roman" w:hAnsi="Times New Roman"/>
                <w:sz w:val="24"/>
                <w:lang w:eastAsia="de-DE"/>
              </w:rPr>
              <w:t>:</w:t>
            </w:r>
          </w:p>
          <w:p w14:paraId="18B0D829" w14:textId="77777777" w:rsidR="00E720F8" w:rsidRPr="00620EA6" w:rsidRDefault="00E720F8" w:rsidP="00E720F8">
            <w:pPr>
              <w:numPr>
                <w:ilvl w:val="0"/>
                <w:numId w:val="35"/>
              </w:numPr>
              <w:rPr>
                <w:rFonts w:ascii="Times New Roman" w:hAnsi="Times New Roman"/>
                <w:sz w:val="24"/>
                <w:lang w:eastAsia="de-DE"/>
              </w:rPr>
            </w:pPr>
            <w:r w:rsidRPr="00620EA6">
              <w:rPr>
                <w:rFonts w:ascii="Times New Roman" w:hAnsi="Times New Roman"/>
                <w:sz w:val="24"/>
                <w:lang w:eastAsia="de-DE"/>
              </w:rPr>
              <w:t xml:space="preserve">institutions shall not restart the numbering in subsequent reporting periods or calendar </w:t>
            </w:r>
            <w:proofErr w:type="gramStart"/>
            <w:r w:rsidRPr="00620EA6">
              <w:rPr>
                <w:rFonts w:ascii="Times New Roman" w:hAnsi="Times New Roman"/>
                <w:sz w:val="24"/>
                <w:lang w:eastAsia="de-DE"/>
              </w:rPr>
              <w:t>years;</w:t>
            </w:r>
            <w:proofErr w:type="gramEnd"/>
          </w:p>
          <w:p w14:paraId="53615730" w14:textId="77777777" w:rsidR="00E720F8" w:rsidRPr="00620EA6" w:rsidRDefault="00E720F8" w:rsidP="00E720F8">
            <w:pPr>
              <w:numPr>
                <w:ilvl w:val="0"/>
                <w:numId w:val="35"/>
              </w:numPr>
              <w:rPr>
                <w:rFonts w:ascii="Times New Roman" w:hAnsi="Times New Roman"/>
                <w:sz w:val="24"/>
                <w:lang w:eastAsia="de-DE"/>
              </w:rPr>
            </w:pPr>
            <w:r w:rsidRPr="00620EA6">
              <w:rPr>
                <w:rFonts w:ascii="Times New Roman" w:hAnsi="Times New Roman"/>
                <w:sz w:val="24"/>
                <w:lang w:eastAsia="de-DE"/>
              </w:rPr>
              <w:t>each new operational risk event shall be assigned a new Event ID that has not been previously used.</w:t>
            </w:r>
          </w:p>
          <w:p w14:paraId="585AB26A" w14:textId="77777777" w:rsidR="00E720F8" w:rsidRPr="00620EA6" w:rsidRDefault="00E720F8" w:rsidP="000C47EB">
            <w:pPr>
              <w:rPr>
                <w:rFonts w:ascii="Times New Roman" w:hAnsi="Times New Roman"/>
                <w:sz w:val="24"/>
                <w:lang w:eastAsia="de-DE"/>
              </w:rPr>
            </w:pPr>
            <w:r w:rsidRPr="00620EA6">
              <w:rPr>
                <w:rFonts w:ascii="Times New Roman" w:hAnsi="Times New Roman"/>
                <w:sz w:val="24"/>
                <w:lang w:eastAsia="de-DE"/>
              </w:rPr>
              <w:t>The Event ID shall be:</w:t>
            </w:r>
          </w:p>
          <w:p w14:paraId="2A7B6E84" w14:textId="77777777" w:rsidR="00E720F8" w:rsidRPr="00620EA6" w:rsidRDefault="00E720F8" w:rsidP="00E720F8">
            <w:pPr>
              <w:numPr>
                <w:ilvl w:val="0"/>
                <w:numId w:val="36"/>
              </w:numPr>
              <w:rPr>
                <w:rFonts w:ascii="Times New Roman" w:hAnsi="Times New Roman"/>
                <w:sz w:val="24"/>
                <w:lang w:eastAsia="de-DE"/>
              </w:rPr>
            </w:pPr>
            <w:r w:rsidRPr="00620EA6">
              <w:rPr>
                <w:rFonts w:ascii="Times New Roman" w:hAnsi="Times New Roman"/>
                <w:sz w:val="24"/>
                <w:lang w:eastAsia="de-DE"/>
              </w:rPr>
              <w:t xml:space="preserve">unique across all reporting </w:t>
            </w:r>
            <w:proofErr w:type="gramStart"/>
            <w:r w:rsidRPr="00620EA6">
              <w:rPr>
                <w:rFonts w:ascii="Times New Roman" w:hAnsi="Times New Roman"/>
                <w:sz w:val="24"/>
                <w:lang w:eastAsia="de-DE"/>
              </w:rPr>
              <w:t>periods;</w:t>
            </w:r>
            <w:proofErr w:type="gramEnd"/>
          </w:p>
          <w:p w14:paraId="5C4B87E8" w14:textId="77777777" w:rsidR="00E720F8" w:rsidRPr="00620EA6" w:rsidRDefault="00E720F8" w:rsidP="00E720F8">
            <w:pPr>
              <w:numPr>
                <w:ilvl w:val="0"/>
                <w:numId w:val="36"/>
              </w:numPr>
              <w:rPr>
                <w:rFonts w:ascii="Times New Roman" w:hAnsi="Times New Roman"/>
                <w:sz w:val="24"/>
                <w:lang w:eastAsia="de-DE"/>
              </w:rPr>
            </w:pPr>
            <w:r w:rsidRPr="00620EA6">
              <w:rPr>
                <w:rFonts w:ascii="Times New Roman" w:hAnsi="Times New Roman"/>
                <w:sz w:val="24"/>
                <w:lang w:eastAsia="de-DE"/>
              </w:rPr>
              <w:t>used consistently for all rows and all reporting dates referring to the same underlying operational risk event, including cases where the event affects more than one legal entity or reporting scope.</w:t>
            </w:r>
          </w:p>
          <w:p w14:paraId="58A9B3D5" w14:textId="77777777" w:rsidR="00E720F8" w:rsidRPr="00620EA6" w:rsidRDefault="00E720F8" w:rsidP="000C47EB">
            <w:pPr>
              <w:rPr>
                <w:rFonts w:ascii="Times New Roman" w:hAnsi="Times New Roman"/>
                <w:sz w:val="24"/>
                <w:lang w:eastAsia="de-DE"/>
              </w:rPr>
            </w:pPr>
            <w:r w:rsidRPr="00620EA6">
              <w:rPr>
                <w:rFonts w:ascii="Times New Roman" w:hAnsi="Times New Roman"/>
                <w:sz w:val="24"/>
                <w:lang w:eastAsia="de-DE"/>
              </w:rPr>
              <w:t xml:space="preserve">The Event ID is a </w:t>
            </w:r>
            <w:r w:rsidRPr="00620EA6">
              <w:rPr>
                <w:rFonts w:ascii="Times New Roman" w:hAnsi="Times New Roman"/>
                <w:b/>
                <w:bCs/>
                <w:sz w:val="24"/>
                <w:lang w:eastAsia="de-DE"/>
              </w:rPr>
              <w:t>technical identifier only</w:t>
            </w:r>
            <w:r w:rsidRPr="00620EA6">
              <w:rPr>
                <w:rFonts w:ascii="Times New Roman" w:hAnsi="Times New Roman"/>
                <w:sz w:val="24"/>
                <w:lang w:eastAsia="de-DE"/>
              </w:rPr>
              <w:t xml:space="preserve"> and does not convey information on the nature, size, or timing of the event. Institutions shall ensure the stability of the Event ID over time to allow traceability, reconciliation, and supervisory review.</w:t>
            </w:r>
          </w:p>
          <w:p w14:paraId="2EB8D2BD" w14:textId="1FBAAE16" w:rsidR="00D565B1" w:rsidRPr="00620EA6" w:rsidRDefault="00E720F8" w:rsidP="000C47EB">
            <w:pPr>
              <w:rPr>
                <w:rFonts w:ascii="Times New Roman" w:hAnsi="Times New Roman"/>
                <w:sz w:val="24"/>
                <w:lang w:eastAsia="de-DE"/>
              </w:rPr>
            </w:pPr>
            <w:r w:rsidRPr="00620EA6">
              <w:rPr>
                <w:rFonts w:ascii="Times New Roman" w:hAnsi="Times New Roman"/>
                <w:sz w:val="24"/>
                <w:lang w:eastAsia="de-DE"/>
              </w:rPr>
              <w:t xml:space="preserve">In case of </w:t>
            </w:r>
            <w:r w:rsidR="005221CA" w:rsidRPr="00620EA6">
              <w:rPr>
                <w:rFonts w:ascii="Times New Roman" w:hAnsi="Times New Roman"/>
                <w:sz w:val="24"/>
                <w:lang w:eastAsia="de-DE"/>
              </w:rPr>
              <w:t xml:space="preserve">an </w:t>
            </w:r>
            <w:r w:rsidR="005221CA" w:rsidRPr="00620EA6">
              <w:rPr>
                <w:rFonts w:ascii="Times New Roman" w:hAnsi="Times New Roman"/>
                <w:sz w:val="24"/>
                <w:lang w:eastAsia="en-GB"/>
              </w:rPr>
              <w:t xml:space="preserve">operational risk event affecting more than one legal </w:t>
            </w:r>
            <w:r w:rsidR="00B27FEE" w:rsidRPr="00620EA6">
              <w:rPr>
                <w:rFonts w:ascii="Times New Roman" w:hAnsi="Times New Roman"/>
                <w:sz w:val="24"/>
                <w:lang w:eastAsia="en-GB"/>
              </w:rPr>
              <w:t>entity</w:t>
            </w:r>
            <w:r w:rsidR="00D565B1" w:rsidRPr="00620EA6">
              <w:rPr>
                <w:rFonts w:ascii="Times New Roman" w:hAnsi="Times New Roman"/>
                <w:sz w:val="24"/>
                <w:lang w:eastAsia="en-GB"/>
              </w:rPr>
              <w:t xml:space="preserve"> or more than one business lines</w:t>
            </w:r>
            <w:r w:rsidR="00B27FEE" w:rsidRPr="00620EA6">
              <w:rPr>
                <w:rFonts w:ascii="Times New Roman" w:hAnsi="Times New Roman"/>
                <w:sz w:val="24"/>
                <w:lang w:eastAsia="en-GB"/>
              </w:rPr>
              <w:t>,</w:t>
            </w:r>
            <w:r w:rsidRPr="00620EA6">
              <w:rPr>
                <w:rFonts w:ascii="Times New Roman" w:hAnsi="Times New Roman"/>
                <w:sz w:val="24"/>
                <w:lang w:eastAsia="de-DE"/>
              </w:rPr>
              <w:t xml:space="preserve"> the same progressive number </w:t>
            </w:r>
            <w:r w:rsidR="005221CA" w:rsidRPr="00620EA6">
              <w:rPr>
                <w:rFonts w:ascii="Times New Roman" w:hAnsi="Times New Roman"/>
                <w:sz w:val="24"/>
                <w:lang w:eastAsia="de-DE"/>
              </w:rPr>
              <w:t>shall</w:t>
            </w:r>
            <w:r w:rsidRPr="00620EA6">
              <w:rPr>
                <w:rFonts w:ascii="Times New Roman" w:hAnsi="Times New Roman"/>
                <w:sz w:val="24"/>
                <w:lang w:eastAsia="de-DE"/>
              </w:rPr>
              <w:t xml:space="preserve"> be assigned to all </w:t>
            </w:r>
            <w:r w:rsidR="005221CA" w:rsidRPr="00620EA6">
              <w:rPr>
                <w:rFonts w:ascii="Times New Roman" w:hAnsi="Times New Roman"/>
                <w:sz w:val="24"/>
                <w:lang w:eastAsia="de-DE"/>
              </w:rPr>
              <w:t xml:space="preserve">the </w:t>
            </w:r>
            <w:r w:rsidRPr="00620EA6">
              <w:rPr>
                <w:rFonts w:ascii="Times New Roman" w:hAnsi="Times New Roman"/>
                <w:sz w:val="24"/>
                <w:lang w:eastAsia="de-DE"/>
              </w:rPr>
              <w:t>records relat</w:t>
            </w:r>
            <w:r w:rsidR="005221CA" w:rsidRPr="00620EA6">
              <w:rPr>
                <w:rFonts w:ascii="Times New Roman" w:hAnsi="Times New Roman"/>
                <w:sz w:val="24"/>
                <w:lang w:eastAsia="de-DE"/>
              </w:rPr>
              <w:t>ed</w:t>
            </w:r>
            <w:r w:rsidRPr="00620EA6">
              <w:rPr>
                <w:rFonts w:ascii="Times New Roman" w:hAnsi="Times New Roman"/>
                <w:sz w:val="24"/>
                <w:lang w:eastAsia="de-DE"/>
              </w:rPr>
              <w:t xml:space="preserve"> to </w:t>
            </w:r>
            <w:r w:rsidR="005221CA" w:rsidRPr="00620EA6">
              <w:rPr>
                <w:rFonts w:ascii="Times New Roman" w:hAnsi="Times New Roman"/>
                <w:sz w:val="24"/>
                <w:lang w:eastAsia="de-DE"/>
              </w:rPr>
              <w:t xml:space="preserve">the </w:t>
            </w:r>
            <w:r w:rsidRPr="00620EA6">
              <w:rPr>
                <w:rFonts w:ascii="Times New Roman" w:hAnsi="Times New Roman"/>
                <w:sz w:val="24"/>
                <w:lang w:eastAsia="de-DE"/>
              </w:rPr>
              <w:t xml:space="preserve">different </w:t>
            </w:r>
            <w:r w:rsidR="005221CA" w:rsidRPr="00620EA6">
              <w:rPr>
                <w:rFonts w:ascii="Times New Roman" w:hAnsi="Times New Roman"/>
                <w:sz w:val="24"/>
                <w:lang w:eastAsia="de-DE"/>
              </w:rPr>
              <w:t xml:space="preserve">entities </w:t>
            </w:r>
            <w:r w:rsidRPr="00620EA6">
              <w:rPr>
                <w:rFonts w:ascii="Times New Roman" w:hAnsi="Times New Roman"/>
                <w:sz w:val="24"/>
                <w:lang w:eastAsia="de-DE"/>
              </w:rPr>
              <w:t>that originated from th</w:t>
            </w:r>
            <w:r w:rsidR="005221CA" w:rsidRPr="00620EA6">
              <w:rPr>
                <w:rFonts w:ascii="Times New Roman" w:hAnsi="Times New Roman"/>
                <w:sz w:val="24"/>
                <w:lang w:eastAsia="de-DE"/>
              </w:rPr>
              <w:t>at</w:t>
            </w:r>
            <w:r w:rsidRPr="00620EA6">
              <w:rPr>
                <w:rFonts w:ascii="Times New Roman" w:hAnsi="Times New Roman"/>
                <w:sz w:val="24"/>
                <w:lang w:eastAsia="de-DE"/>
              </w:rPr>
              <w:t xml:space="preserve"> event. </w:t>
            </w:r>
          </w:p>
          <w:p w14:paraId="0164E972" w14:textId="5E2FE9FF" w:rsidR="00E720F8" w:rsidRPr="00620EA6" w:rsidRDefault="005221CA" w:rsidP="000C47EB">
            <w:pPr>
              <w:rPr>
                <w:rFonts w:ascii="Times New Roman" w:hAnsi="Times New Roman"/>
                <w:sz w:val="24"/>
                <w:lang w:eastAsia="de-DE"/>
              </w:rPr>
            </w:pPr>
            <w:r w:rsidRPr="00620EA6">
              <w:rPr>
                <w:rFonts w:ascii="Times New Roman" w:hAnsi="Times New Roman"/>
                <w:sz w:val="24"/>
                <w:lang w:eastAsia="de-DE"/>
              </w:rPr>
              <w:t>T</w:t>
            </w:r>
            <w:r w:rsidR="00E720F8" w:rsidRPr="00620EA6">
              <w:rPr>
                <w:rFonts w:ascii="Times New Roman" w:hAnsi="Times New Roman"/>
                <w:sz w:val="24"/>
                <w:lang w:eastAsia="de-DE"/>
              </w:rPr>
              <w:t xml:space="preserve">he assignment of progressive numbers </w:t>
            </w:r>
            <w:r w:rsidRPr="00620EA6">
              <w:rPr>
                <w:rFonts w:ascii="Times New Roman" w:hAnsi="Times New Roman"/>
                <w:sz w:val="24"/>
                <w:lang w:eastAsia="de-DE"/>
              </w:rPr>
              <w:t>shall</w:t>
            </w:r>
            <w:r w:rsidR="00E720F8" w:rsidRPr="00620EA6">
              <w:rPr>
                <w:rFonts w:ascii="Times New Roman" w:hAnsi="Times New Roman"/>
                <w:sz w:val="24"/>
                <w:lang w:eastAsia="de-DE"/>
              </w:rPr>
              <w:t xml:space="preserve"> be coordinated at the Group level. For example, if </w:t>
            </w:r>
            <w:r w:rsidRPr="00620EA6">
              <w:rPr>
                <w:rFonts w:ascii="Times New Roman" w:hAnsi="Times New Roman"/>
                <w:sz w:val="24"/>
                <w:lang w:eastAsia="de-DE"/>
              </w:rPr>
              <w:t xml:space="preserve">the </w:t>
            </w:r>
            <w:r w:rsidR="00890C60" w:rsidRPr="00620EA6">
              <w:rPr>
                <w:rFonts w:ascii="Times New Roman" w:hAnsi="Times New Roman"/>
                <w:sz w:val="24"/>
                <w:lang w:eastAsia="de-DE"/>
              </w:rPr>
              <w:t>internal group identifier</w:t>
            </w:r>
            <w:r w:rsidR="00E132C3" w:rsidRPr="00620EA6">
              <w:rPr>
                <w:rFonts w:ascii="Times New Roman" w:hAnsi="Times New Roman"/>
                <w:sz w:val="24"/>
                <w:lang w:eastAsia="de-DE"/>
              </w:rPr>
              <w:t xml:space="preserve"> </w:t>
            </w:r>
            <w:r w:rsidR="00E720F8" w:rsidRPr="00620EA6">
              <w:rPr>
                <w:rFonts w:ascii="Times New Roman" w:hAnsi="Times New Roman"/>
                <w:sz w:val="24"/>
                <w:lang w:eastAsia="de-DE"/>
              </w:rPr>
              <w:t xml:space="preserve">"x" reported by one entity to the parent company refers to the same event whose losses are reported with </w:t>
            </w:r>
            <w:r w:rsidR="00890C60" w:rsidRPr="00620EA6">
              <w:rPr>
                <w:rFonts w:ascii="Times New Roman" w:hAnsi="Times New Roman"/>
                <w:sz w:val="24"/>
                <w:lang w:eastAsia="de-DE"/>
              </w:rPr>
              <w:t>internal group identifier</w:t>
            </w:r>
            <w:r w:rsidRPr="00620EA6">
              <w:rPr>
                <w:rFonts w:ascii="Times New Roman" w:hAnsi="Times New Roman"/>
                <w:sz w:val="24"/>
                <w:lang w:eastAsia="de-DE"/>
              </w:rPr>
              <w:t xml:space="preserve"> </w:t>
            </w:r>
            <w:r w:rsidR="00E720F8" w:rsidRPr="00620EA6">
              <w:rPr>
                <w:rFonts w:ascii="Times New Roman" w:hAnsi="Times New Roman"/>
                <w:sz w:val="24"/>
                <w:lang w:eastAsia="de-DE"/>
              </w:rPr>
              <w:t xml:space="preserve">"y" by a second entity, the parent company </w:t>
            </w:r>
            <w:r w:rsidR="00B27FEE" w:rsidRPr="00620EA6">
              <w:rPr>
                <w:rFonts w:ascii="Times New Roman" w:hAnsi="Times New Roman"/>
                <w:sz w:val="24"/>
                <w:lang w:eastAsia="de-DE"/>
              </w:rPr>
              <w:t>shall</w:t>
            </w:r>
            <w:r w:rsidR="00E720F8" w:rsidRPr="00620EA6">
              <w:rPr>
                <w:rFonts w:ascii="Times New Roman" w:hAnsi="Times New Roman"/>
                <w:sz w:val="24"/>
                <w:lang w:eastAsia="de-DE"/>
              </w:rPr>
              <w:t xml:space="preserve"> be responsible for assigning </w:t>
            </w:r>
            <w:r w:rsidRPr="00620EA6">
              <w:rPr>
                <w:rFonts w:ascii="Times New Roman" w:hAnsi="Times New Roman"/>
                <w:sz w:val="24"/>
                <w:lang w:eastAsia="de-DE"/>
              </w:rPr>
              <w:t xml:space="preserve">progressive </w:t>
            </w:r>
            <w:r w:rsidR="00890C60" w:rsidRPr="00620EA6">
              <w:rPr>
                <w:rFonts w:ascii="Times New Roman" w:hAnsi="Times New Roman"/>
                <w:sz w:val="24"/>
                <w:lang w:eastAsia="de-DE"/>
              </w:rPr>
              <w:t xml:space="preserve">reference </w:t>
            </w:r>
            <w:r w:rsidRPr="00620EA6">
              <w:rPr>
                <w:rFonts w:ascii="Times New Roman" w:hAnsi="Times New Roman"/>
                <w:sz w:val="24"/>
                <w:lang w:eastAsia="de-DE"/>
              </w:rPr>
              <w:t xml:space="preserve">number </w:t>
            </w:r>
            <w:r w:rsidR="00E720F8" w:rsidRPr="00620EA6">
              <w:rPr>
                <w:rFonts w:ascii="Times New Roman" w:hAnsi="Times New Roman"/>
                <w:sz w:val="24"/>
                <w:lang w:eastAsia="de-DE"/>
              </w:rPr>
              <w:t xml:space="preserve">"z" to both </w:t>
            </w:r>
            <w:r w:rsidRPr="00620EA6">
              <w:rPr>
                <w:rFonts w:ascii="Times New Roman" w:hAnsi="Times New Roman"/>
                <w:sz w:val="24"/>
                <w:lang w:eastAsia="de-DE"/>
              </w:rPr>
              <w:t xml:space="preserve">the </w:t>
            </w:r>
            <w:r w:rsidR="00E720F8" w:rsidRPr="00620EA6">
              <w:rPr>
                <w:rFonts w:ascii="Times New Roman" w:hAnsi="Times New Roman"/>
                <w:sz w:val="24"/>
                <w:lang w:eastAsia="de-DE"/>
              </w:rPr>
              <w:t>records before reporting.</w:t>
            </w:r>
          </w:p>
        </w:tc>
      </w:tr>
      <w:tr w:rsidR="00E720F8" w:rsidRPr="00620EA6" w14:paraId="23992718" w14:textId="77777777" w:rsidTr="00E132C3">
        <w:tc>
          <w:tcPr>
            <w:tcW w:w="1511" w:type="dxa"/>
          </w:tcPr>
          <w:p w14:paraId="4DCB8E34" w14:textId="77777777" w:rsidR="00E720F8" w:rsidRPr="00620EA6" w:rsidRDefault="00E720F8" w:rsidP="000C47EB">
            <w:pPr>
              <w:rPr>
                <w:rFonts w:ascii="Times New Roman" w:hAnsi="Times New Roman"/>
                <w:sz w:val="24"/>
                <w:lang w:eastAsia="de-DE"/>
              </w:rPr>
            </w:pPr>
            <w:r w:rsidRPr="00620EA6">
              <w:rPr>
                <w:rFonts w:ascii="Times New Roman" w:hAnsi="Times New Roman"/>
                <w:sz w:val="24"/>
                <w:lang w:eastAsia="de-DE"/>
              </w:rPr>
              <w:lastRenderedPageBreak/>
              <w:t>0020</w:t>
            </w:r>
          </w:p>
        </w:tc>
        <w:tc>
          <w:tcPr>
            <w:tcW w:w="7551" w:type="dxa"/>
          </w:tcPr>
          <w:p w14:paraId="151B3347" w14:textId="77777777" w:rsidR="00E720F8" w:rsidRPr="00620EA6" w:rsidRDefault="00E720F8" w:rsidP="000C47EB">
            <w:pPr>
              <w:rPr>
                <w:rStyle w:val="InstructionsTabelleberschrift"/>
                <w:rFonts w:ascii="Times New Roman" w:hAnsi="Times New Roman"/>
                <w:sz w:val="24"/>
              </w:rPr>
            </w:pPr>
            <w:r w:rsidRPr="00620EA6">
              <w:rPr>
                <w:rStyle w:val="InstructionsTabelleberschrift"/>
                <w:rFonts w:ascii="Times New Roman" w:hAnsi="Times New Roman"/>
                <w:sz w:val="24"/>
              </w:rPr>
              <w:t>Record Type</w:t>
            </w:r>
          </w:p>
          <w:p w14:paraId="4F8AE66F" w14:textId="77777777" w:rsidR="00E720F8" w:rsidRPr="00620EA6" w:rsidRDefault="00E720F8" w:rsidP="000C47EB">
            <w:pPr>
              <w:pStyle w:val="NormalWeb"/>
            </w:pPr>
            <w:r w:rsidRPr="00620EA6">
              <w:t>T</w:t>
            </w:r>
            <w:r w:rsidRPr="00620EA6">
              <w:rPr>
                <w:lang w:eastAsia="de-DE"/>
              </w:rPr>
              <w:t xml:space="preserve">he </w:t>
            </w:r>
            <w:r w:rsidRPr="00620EA6">
              <w:rPr>
                <w:rStyle w:val="Emphasis"/>
                <w:rFonts w:eastAsiaTheme="majorEastAsia"/>
              </w:rPr>
              <w:t>Record Type</w:t>
            </w:r>
            <w:r w:rsidRPr="00620EA6">
              <w:t xml:space="preserve"> identifies the nature of the submission for each reported record and allows competent authorities to distinguish between new submissions and subsequent changes to previously reported operational risk events.</w:t>
            </w:r>
          </w:p>
          <w:p w14:paraId="1EB720A5" w14:textId="77777777" w:rsidR="00E720F8" w:rsidRPr="00620EA6" w:rsidRDefault="00E720F8" w:rsidP="000C47EB">
            <w:pPr>
              <w:pStyle w:val="NormalWeb"/>
            </w:pPr>
            <w:r w:rsidRPr="00620EA6">
              <w:t>Institutions shall classify each record using one of the following Record Types:</w:t>
            </w:r>
          </w:p>
          <w:p w14:paraId="726C1821" w14:textId="45711B97" w:rsidR="00E720F8" w:rsidRPr="00620EA6" w:rsidRDefault="00E720F8" w:rsidP="00E720F8">
            <w:pPr>
              <w:pStyle w:val="NormalWeb"/>
              <w:numPr>
                <w:ilvl w:val="0"/>
                <w:numId w:val="37"/>
              </w:numPr>
            </w:pPr>
            <w:r w:rsidRPr="00620EA6">
              <w:rPr>
                <w:rStyle w:val="Strong"/>
                <w:rFonts w:eastAsiaTheme="majorEastAsia"/>
              </w:rPr>
              <w:t xml:space="preserve">Insertion: </w:t>
            </w:r>
            <w:r w:rsidRPr="00620EA6">
              <w:t>The record represents a</w:t>
            </w:r>
            <w:r w:rsidR="00C311F0" w:rsidRPr="00620EA6">
              <w:t>n</w:t>
            </w:r>
            <w:r w:rsidRPr="00620EA6">
              <w:t xml:space="preserve"> </w:t>
            </w:r>
            <w:r w:rsidRPr="00620EA6">
              <w:rPr>
                <w:rStyle w:val="Strong"/>
                <w:rFonts w:eastAsiaTheme="majorEastAsia"/>
              </w:rPr>
              <w:t>operational risk event</w:t>
            </w:r>
            <w:r w:rsidRPr="00620EA6">
              <w:t xml:space="preserve"> reported for the first time.</w:t>
            </w:r>
            <w:r w:rsidR="00C311F0" w:rsidRPr="00620EA6">
              <w:t xml:space="preserve"> This may refer to either a new operational event, i.e. an operational risk event “accounted for the first time”, or to a “loss adjustment” of an event never reported so far in this </w:t>
            </w:r>
            <w:r w:rsidR="00AA38C2" w:rsidRPr="00620EA6">
              <w:t xml:space="preserve">template </w:t>
            </w:r>
            <w:r w:rsidR="00691F72" w:rsidRPr="00620EA6">
              <w:t>(see column 0050 for its description)</w:t>
            </w:r>
            <w:r w:rsidR="00C311F0" w:rsidRPr="00620EA6">
              <w:t xml:space="preserve">. </w:t>
            </w:r>
          </w:p>
          <w:p w14:paraId="0054E8AA" w14:textId="77777777" w:rsidR="00A35675" w:rsidRPr="00C27728" w:rsidRDefault="00E720F8" w:rsidP="00A35675">
            <w:pPr>
              <w:pStyle w:val="NormalWeb"/>
              <w:numPr>
                <w:ilvl w:val="0"/>
                <w:numId w:val="37"/>
              </w:numPr>
            </w:pPr>
            <w:r w:rsidRPr="00C27728">
              <w:rPr>
                <w:rStyle w:val="Strong"/>
                <w:rFonts w:eastAsiaTheme="majorEastAsia"/>
              </w:rPr>
              <w:lastRenderedPageBreak/>
              <w:t xml:space="preserve">Update: </w:t>
            </w:r>
            <w:r w:rsidRPr="00C27728">
              <w:t xml:space="preserve">The record represents an </w:t>
            </w:r>
            <w:r w:rsidRPr="00C27728">
              <w:rPr>
                <w:rStyle w:val="Strong"/>
                <w:rFonts w:eastAsiaTheme="majorEastAsia"/>
              </w:rPr>
              <w:t>update of a previously reported event</w:t>
            </w:r>
            <w:r w:rsidRPr="00C27728">
              <w:t xml:space="preserve">, submitted to reflect new information that has become available in relation to that event (e.g. changes in amounts, status, or timing). </w:t>
            </w:r>
          </w:p>
          <w:p w14:paraId="424B4E0F" w14:textId="409E80DE" w:rsidR="00B408A5" w:rsidRPr="00620EA6" w:rsidRDefault="00B408A5" w:rsidP="00137FD6">
            <w:pPr>
              <w:pStyle w:val="NormalWeb"/>
              <w:numPr>
                <w:ilvl w:val="1"/>
                <w:numId w:val="37"/>
              </w:numPr>
            </w:pPr>
            <w:r w:rsidRPr="00620EA6">
              <w:t>The Update type is mandatory for operational risk events reported in previous reporting reference periods</w:t>
            </w:r>
          </w:p>
          <w:p w14:paraId="2F343DB4" w14:textId="77777777" w:rsidR="00970BCD" w:rsidRPr="00620EA6" w:rsidRDefault="00970BCD" w:rsidP="00C27728">
            <w:pPr>
              <w:pStyle w:val="NormalWeb"/>
              <w:ind w:left="720"/>
            </w:pPr>
          </w:p>
          <w:p w14:paraId="2A9EB874" w14:textId="1F3C4EDE" w:rsidR="00B408A5" w:rsidRPr="00620EA6" w:rsidRDefault="00B408A5" w:rsidP="00B408A5">
            <w:pPr>
              <w:pStyle w:val="NormalWeb"/>
              <w:numPr>
                <w:ilvl w:val="0"/>
                <w:numId w:val="37"/>
              </w:numPr>
            </w:pPr>
            <w:r w:rsidRPr="00620EA6">
              <w:rPr>
                <w:b/>
                <w:bCs/>
              </w:rPr>
              <w:t>Correction</w:t>
            </w:r>
            <w:r w:rsidRPr="00620EA6">
              <w:t xml:space="preserve">: The record represents a correction of a previously reported event, submitted to rectify inaccurate data that was originally reported due to specific identifiable errors. Corrections should only be used in cases where the error relates to the content of the reported data fields (e.g., misreported amounts, incorrect event status, or incorrect timing of the event). </w:t>
            </w:r>
            <w:r w:rsidRPr="00620EA6">
              <w:rPr>
                <w:b/>
                <w:bCs/>
              </w:rPr>
              <w:t>Examples</w:t>
            </w:r>
            <w:r w:rsidRPr="00620EA6">
              <w:t>:</w:t>
            </w:r>
          </w:p>
          <w:p w14:paraId="417749C6" w14:textId="77777777" w:rsidR="00111E43" w:rsidRPr="00620EA6" w:rsidRDefault="00111E43" w:rsidP="00111E43">
            <w:pPr>
              <w:pStyle w:val="NormalWeb"/>
              <w:numPr>
                <w:ilvl w:val="1"/>
                <w:numId w:val="37"/>
              </w:numPr>
            </w:pPr>
            <w:r w:rsidRPr="00620EA6">
              <w:t>A gross loss amount was reported as EUR 25,000 instead of EUR 250,000 due to a manual data entry error.</w:t>
            </w:r>
          </w:p>
          <w:p w14:paraId="5AB7B543" w14:textId="207B3D9E" w:rsidR="00111E43" w:rsidRPr="00620EA6" w:rsidRDefault="00111E43" w:rsidP="00137FD6">
            <w:pPr>
              <w:pStyle w:val="NormalWeb"/>
              <w:numPr>
                <w:ilvl w:val="1"/>
                <w:numId w:val="37"/>
              </w:numPr>
            </w:pPr>
            <w:r w:rsidRPr="00620EA6">
              <w:t>The reported event date was mistakenly recorded as 2023-01-01 instead of the actual date of 2022-12-31.</w:t>
            </w:r>
          </w:p>
          <w:p w14:paraId="5B27502A" w14:textId="77777777" w:rsidR="00970BCD" w:rsidRPr="00C27728" w:rsidRDefault="00970BCD" w:rsidP="00C27728">
            <w:pPr>
              <w:pStyle w:val="NormalWeb"/>
              <w:ind w:left="720"/>
            </w:pPr>
          </w:p>
          <w:p w14:paraId="40F50783" w14:textId="7049D2C2" w:rsidR="00B408A5" w:rsidRPr="00620EA6" w:rsidRDefault="00B408A5" w:rsidP="00B408A5">
            <w:pPr>
              <w:pStyle w:val="NormalWeb"/>
              <w:numPr>
                <w:ilvl w:val="0"/>
                <w:numId w:val="37"/>
              </w:numPr>
            </w:pPr>
            <w:r w:rsidRPr="00620EA6">
              <w:rPr>
                <w:b/>
                <w:bCs/>
              </w:rPr>
              <w:t>Deletion</w:t>
            </w:r>
            <w:r w:rsidRPr="00620EA6">
              <w:t xml:space="preserve">: the record represents the cancellation of a previously re-ported event that was erroneously reported and is no longer valid for reporting purposes. Deletion should be used only in cases where the operational risk event itself is determined to have been reported in error (e.g., the event does not meet the reporting criteria or was mistakenly classified as an operational risk event). This option should not be used for correcting errors in individual data fields, which should instead be handled using the Correction option. </w:t>
            </w:r>
            <w:r w:rsidRPr="00620EA6">
              <w:rPr>
                <w:b/>
                <w:bCs/>
              </w:rPr>
              <w:t>Example</w:t>
            </w:r>
            <w:r w:rsidRPr="00620EA6">
              <w:t>:</w:t>
            </w:r>
          </w:p>
          <w:p w14:paraId="7A3E54E4" w14:textId="05355A12" w:rsidR="00137FD6" w:rsidRPr="00620EA6" w:rsidRDefault="00137FD6" w:rsidP="00111E43">
            <w:pPr>
              <w:pStyle w:val="NormalWeb"/>
              <w:numPr>
                <w:ilvl w:val="1"/>
                <w:numId w:val="37"/>
              </w:numPr>
            </w:pPr>
            <w:r w:rsidRPr="00620EA6">
              <w:t xml:space="preserve">A duplicate record of the same event was erroneously included in the report and needs to be removed. </w:t>
            </w:r>
          </w:p>
          <w:p w14:paraId="6364A4E3" w14:textId="77777777" w:rsidR="00E720F8" w:rsidRPr="00620EA6" w:rsidRDefault="00E720F8" w:rsidP="000C47EB">
            <w:pPr>
              <w:pStyle w:val="NormalWeb"/>
            </w:pPr>
            <w:r w:rsidRPr="00620EA6">
              <w:t xml:space="preserve">In cases of </w:t>
            </w:r>
            <w:r w:rsidRPr="00620EA6">
              <w:rPr>
                <w:rStyle w:val="Strong"/>
                <w:rFonts w:eastAsiaTheme="majorEastAsia"/>
              </w:rPr>
              <w:t>Update</w:t>
            </w:r>
            <w:r w:rsidRPr="00620EA6">
              <w:t xml:space="preserve">, </w:t>
            </w:r>
            <w:r w:rsidRPr="00620EA6">
              <w:rPr>
                <w:rStyle w:val="Strong"/>
                <w:rFonts w:eastAsiaTheme="majorEastAsia"/>
              </w:rPr>
              <w:t>Correction</w:t>
            </w:r>
            <w:r w:rsidRPr="00620EA6">
              <w:t xml:space="preserve">, or </w:t>
            </w:r>
            <w:r w:rsidRPr="00620EA6">
              <w:rPr>
                <w:rStyle w:val="Strong"/>
                <w:rFonts w:eastAsiaTheme="majorEastAsia"/>
              </w:rPr>
              <w:t>Deletion</w:t>
            </w:r>
            <w:r w:rsidRPr="00620EA6">
              <w:t xml:space="preserve">, institutions shall report a record that is </w:t>
            </w:r>
            <w:r w:rsidRPr="00620EA6">
              <w:rPr>
                <w:rStyle w:val="Strong"/>
                <w:rFonts w:eastAsiaTheme="majorEastAsia"/>
              </w:rPr>
              <w:t>complete in all data fields</w:t>
            </w:r>
            <w:r w:rsidRPr="00620EA6">
              <w:t xml:space="preserve">. The record shall report the </w:t>
            </w:r>
            <w:r w:rsidRPr="00620EA6">
              <w:rPr>
                <w:rStyle w:val="Strong"/>
                <w:rFonts w:eastAsiaTheme="majorEastAsia"/>
              </w:rPr>
              <w:t>same Event ID</w:t>
            </w:r>
            <w:r w:rsidRPr="00620EA6">
              <w:t xml:space="preserve"> as the record that is being updated, corrected, or deleted, </w:t>
            </w:r>
            <w:proofErr w:type="gramStart"/>
            <w:r w:rsidRPr="00620EA6">
              <w:t>in order to</w:t>
            </w:r>
            <w:proofErr w:type="gramEnd"/>
            <w:r w:rsidRPr="00620EA6">
              <w:t xml:space="preserve"> ensure traceability across reporting periods.</w:t>
            </w:r>
          </w:p>
          <w:p w14:paraId="27167527" w14:textId="51B28E3D" w:rsidR="00E720F8" w:rsidRPr="00620EA6" w:rsidRDefault="00E720F8" w:rsidP="000C47EB">
            <w:pPr>
              <w:pStyle w:val="NormalWeb"/>
              <w:rPr>
                <w:rStyle w:val="InstructionsTabelleberschrift"/>
                <w:b w:val="0"/>
                <w:bCs w:val="0"/>
              </w:rPr>
            </w:pPr>
            <w:r w:rsidRPr="00620EA6">
              <w:t>Institutions shall ensure consistency between the Record Type and the content of the record, as this will be subject to validation checks.</w:t>
            </w:r>
          </w:p>
        </w:tc>
      </w:tr>
      <w:tr w:rsidR="00E720F8" w:rsidRPr="00620EA6" w14:paraId="730DA632" w14:textId="77777777" w:rsidTr="00E132C3">
        <w:tc>
          <w:tcPr>
            <w:tcW w:w="1511" w:type="dxa"/>
          </w:tcPr>
          <w:p w14:paraId="457D99F6" w14:textId="77777777" w:rsidR="00E720F8" w:rsidRPr="00620EA6" w:rsidRDefault="00E720F8" w:rsidP="000C47EB">
            <w:pPr>
              <w:rPr>
                <w:rFonts w:ascii="Times New Roman" w:hAnsi="Times New Roman"/>
                <w:sz w:val="24"/>
                <w:lang w:eastAsia="de-DE"/>
              </w:rPr>
            </w:pPr>
            <w:r w:rsidRPr="00620EA6">
              <w:rPr>
                <w:rFonts w:ascii="Times New Roman" w:hAnsi="Times New Roman"/>
                <w:sz w:val="24"/>
                <w:lang w:eastAsia="de-DE"/>
              </w:rPr>
              <w:lastRenderedPageBreak/>
              <w:t>0030</w:t>
            </w:r>
          </w:p>
        </w:tc>
        <w:tc>
          <w:tcPr>
            <w:tcW w:w="7551" w:type="dxa"/>
          </w:tcPr>
          <w:p w14:paraId="7E884ED3" w14:textId="77777777" w:rsidR="00E720F8" w:rsidRPr="00620EA6" w:rsidRDefault="00E720F8" w:rsidP="000C47EB">
            <w:pPr>
              <w:spacing w:before="100" w:beforeAutospacing="1" w:after="100" w:afterAutospacing="1"/>
              <w:jc w:val="left"/>
              <w:outlineLvl w:val="2"/>
              <w:rPr>
                <w:rFonts w:ascii="Times New Roman" w:hAnsi="Times New Roman"/>
                <w:b/>
                <w:bCs/>
                <w:sz w:val="27"/>
                <w:szCs w:val="27"/>
                <w:u w:val="single"/>
                <w:lang w:eastAsia="en-GB"/>
              </w:rPr>
            </w:pPr>
            <w:r w:rsidRPr="00620EA6">
              <w:rPr>
                <w:rFonts w:ascii="Times New Roman" w:hAnsi="Times New Roman"/>
                <w:b/>
                <w:bCs/>
                <w:sz w:val="27"/>
                <w:szCs w:val="27"/>
                <w:u w:val="single"/>
                <w:lang w:eastAsia="en-GB"/>
              </w:rPr>
              <w:t>Event Status</w:t>
            </w:r>
          </w:p>
          <w:p w14:paraId="4E44FA66" w14:textId="77777777" w:rsidR="00E720F8" w:rsidRPr="00620EA6" w:rsidRDefault="00E720F8" w:rsidP="000C47EB">
            <w:pPr>
              <w:spacing w:before="100" w:beforeAutospacing="1" w:after="100" w:afterAutospacing="1"/>
              <w:jc w:val="left"/>
              <w:outlineLvl w:val="2"/>
              <w:rPr>
                <w:rFonts w:ascii="Times New Roman" w:hAnsi="Times New Roman"/>
                <w:b/>
                <w:bCs/>
                <w:sz w:val="27"/>
                <w:szCs w:val="27"/>
                <w:u w:val="single"/>
                <w:lang w:eastAsia="en-GB"/>
              </w:rPr>
            </w:pPr>
            <w:r w:rsidRPr="00620EA6">
              <w:rPr>
                <w:rFonts w:ascii="Times New Roman" w:hAnsi="Times New Roman"/>
                <w:sz w:val="24"/>
                <w:lang w:eastAsia="en-GB"/>
              </w:rPr>
              <w:t xml:space="preserve">The </w:t>
            </w:r>
            <w:r w:rsidRPr="00620EA6">
              <w:rPr>
                <w:rFonts w:ascii="Times New Roman" w:hAnsi="Times New Roman"/>
                <w:i/>
                <w:iCs/>
                <w:sz w:val="24"/>
                <w:lang w:eastAsia="en-GB"/>
              </w:rPr>
              <w:t>Event Status</w:t>
            </w:r>
            <w:r w:rsidRPr="00620EA6">
              <w:rPr>
                <w:rFonts w:ascii="Times New Roman" w:hAnsi="Times New Roman"/>
                <w:sz w:val="24"/>
                <w:lang w:eastAsia="en-GB"/>
              </w:rPr>
              <w:t xml:space="preserve"> field indicates the </w:t>
            </w:r>
            <w:proofErr w:type="gramStart"/>
            <w:r w:rsidRPr="00620EA6">
              <w:rPr>
                <w:rFonts w:ascii="Times New Roman" w:hAnsi="Times New Roman"/>
                <w:sz w:val="24"/>
                <w:lang w:eastAsia="en-GB"/>
              </w:rPr>
              <w:t>current status</w:t>
            </w:r>
            <w:proofErr w:type="gramEnd"/>
            <w:r w:rsidRPr="00620EA6">
              <w:rPr>
                <w:rFonts w:ascii="Times New Roman" w:hAnsi="Times New Roman"/>
                <w:sz w:val="24"/>
                <w:lang w:eastAsia="en-GB"/>
              </w:rPr>
              <w:t xml:space="preserve"> of the operational risk event at the reporting date. It provides information on whether the event is </w:t>
            </w:r>
            <w:r w:rsidRPr="00620EA6">
              <w:rPr>
                <w:rFonts w:ascii="Times New Roman" w:hAnsi="Times New Roman"/>
                <w:b/>
                <w:bCs/>
                <w:sz w:val="24"/>
                <w:lang w:eastAsia="en-GB"/>
              </w:rPr>
              <w:t>still ongoing</w:t>
            </w:r>
            <w:r w:rsidRPr="00620EA6">
              <w:rPr>
                <w:rFonts w:ascii="Times New Roman" w:hAnsi="Times New Roman"/>
                <w:sz w:val="24"/>
                <w:lang w:eastAsia="en-GB"/>
              </w:rPr>
              <w:t xml:space="preserve"> or has been </w:t>
            </w:r>
            <w:r w:rsidRPr="00620EA6">
              <w:rPr>
                <w:rFonts w:ascii="Times New Roman" w:hAnsi="Times New Roman"/>
                <w:b/>
                <w:bCs/>
                <w:sz w:val="24"/>
                <w:lang w:eastAsia="en-GB"/>
              </w:rPr>
              <w:t>concluded</w:t>
            </w:r>
            <w:r w:rsidRPr="00620EA6">
              <w:rPr>
                <w:rFonts w:ascii="Times New Roman" w:hAnsi="Times New Roman"/>
                <w:sz w:val="24"/>
                <w:lang w:eastAsia="en-GB"/>
              </w:rPr>
              <w:t>, which is relevant for supervisory assessment and consolidation.</w:t>
            </w:r>
          </w:p>
          <w:p w14:paraId="4746FDBC" w14:textId="77777777" w:rsidR="00E720F8" w:rsidRPr="00620EA6" w:rsidRDefault="00E720F8" w:rsidP="000C47EB">
            <w:pPr>
              <w:tabs>
                <w:tab w:val="num" w:pos="720"/>
              </w:tabs>
              <w:spacing w:before="100" w:beforeAutospacing="1" w:after="100" w:afterAutospacing="1"/>
              <w:jc w:val="left"/>
              <w:rPr>
                <w:rFonts w:ascii="Times New Roman" w:hAnsi="Times New Roman"/>
                <w:sz w:val="24"/>
                <w:lang w:eastAsia="en-GB"/>
              </w:rPr>
            </w:pPr>
            <w:r w:rsidRPr="00620EA6">
              <w:rPr>
                <w:rFonts w:ascii="Times New Roman" w:hAnsi="Times New Roman"/>
                <w:sz w:val="24"/>
                <w:lang w:eastAsia="en-GB"/>
              </w:rPr>
              <w:t>The</w:t>
            </w:r>
            <w:r w:rsidRPr="00620EA6">
              <w:rPr>
                <w:rFonts w:ascii="Times New Roman" w:hAnsi="Times New Roman"/>
                <w:b/>
                <w:bCs/>
                <w:sz w:val="24"/>
                <w:lang w:eastAsia="en-GB"/>
              </w:rPr>
              <w:t xml:space="preserve"> </w:t>
            </w:r>
            <w:r w:rsidRPr="00620EA6">
              <w:rPr>
                <w:rFonts w:ascii="Times New Roman" w:hAnsi="Times New Roman"/>
                <w:sz w:val="24"/>
                <w:lang w:eastAsia="en-GB"/>
              </w:rPr>
              <w:t>Event Status is an alphanumeric value of 2 characters:</w:t>
            </w:r>
          </w:p>
          <w:p w14:paraId="0980F79B" w14:textId="77777777" w:rsidR="00E720F8" w:rsidRPr="00620EA6" w:rsidRDefault="00E720F8" w:rsidP="00E720F8">
            <w:pPr>
              <w:numPr>
                <w:ilvl w:val="0"/>
                <w:numId w:val="39"/>
              </w:numPr>
              <w:spacing w:before="100" w:beforeAutospacing="1" w:after="100" w:afterAutospacing="1"/>
              <w:jc w:val="left"/>
              <w:rPr>
                <w:rFonts w:ascii="Times New Roman" w:hAnsi="Times New Roman"/>
                <w:sz w:val="24"/>
                <w:lang w:eastAsia="en-GB"/>
              </w:rPr>
            </w:pPr>
            <w:r w:rsidRPr="00620EA6">
              <w:rPr>
                <w:rFonts w:ascii="Times New Roman" w:hAnsi="Times New Roman"/>
                <w:b/>
                <w:bCs/>
                <w:sz w:val="24"/>
                <w:lang w:eastAsia="en-GB"/>
              </w:rPr>
              <w:lastRenderedPageBreak/>
              <w:t>OP</w:t>
            </w:r>
            <w:r w:rsidRPr="00620EA6">
              <w:rPr>
                <w:rFonts w:ascii="Times New Roman" w:hAnsi="Times New Roman"/>
                <w:sz w:val="24"/>
                <w:lang w:eastAsia="en-GB"/>
              </w:rPr>
              <w:t xml:space="preserve"> – </w:t>
            </w:r>
            <w:r w:rsidRPr="00620EA6">
              <w:rPr>
                <w:rFonts w:ascii="Times New Roman" w:hAnsi="Times New Roman"/>
                <w:i/>
                <w:iCs/>
                <w:sz w:val="24"/>
                <w:lang w:eastAsia="en-GB"/>
              </w:rPr>
              <w:t>Open</w:t>
            </w:r>
            <w:r w:rsidRPr="00620EA6">
              <w:rPr>
                <w:rFonts w:ascii="Times New Roman" w:hAnsi="Times New Roman"/>
                <w:sz w:val="24"/>
                <w:lang w:eastAsia="en-GB"/>
              </w:rPr>
              <w:t>: the operational risk event is still ongoing and has not been resolved.</w:t>
            </w:r>
          </w:p>
          <w:p w14:paraId="33A7B4C6" w14:textId="77777777" w:rsidR="00E720F8" w:rsidRPr="00620EA6" w:rsidRDefault="00E720F8" w:rsidP="00E720F8">
            <w:pPr>
              <w:numPr>
                <w:ilvl w:val="0"/>
                <w:numId w:val="39"/>
              </w:numPr>
              <w:spacing w:before="100" w:beforeAutospacing="1" w:after="100" w:afterAutospacing="1"/>
              <w:jc w:val="left"/>
              <w:rPr>
                <w:rFonts w:ascii="Times New Roman" w:hAnsi="Times New Roman"/>
                <w:sz w:val="24"/>
                <w:lang w:eastAsia="en-GB"/>
              </w:rPr>
            </w:pPr>
            <w:r w:rsidRPr="00620EA6">
              <w:rPr>
                <w:rFonts w:ascii="Times New Roman" w:hAnsi="Times New Roman"/>
                <w:b/>
                <w:bCs/>
                <w:sz w:val="24"/>
                <w:lang w:eastAsia="en-GB"/>
              </w:rPr>
              <w:t>CL</w:t>
            </w:r>
            <w:r w:rsidRPr="00620EA6">
              <w:rPr>
                <w:rFonts w:ascii="Times New Roman" w:hAnsi="Times New Roman"/>
                <w:sz w:val="24"/>
                <w:lang w:eastAsia="en-GB"/>
              </w:rPr>
              <w:t xml:space="preserve"> – </w:t>
            </w:r>
            <w:r w:rsidRPr="00620EA6">
              <w:rPr>
                <w:rFonts w:ascii="Times New Roman" w:hAnsi="Times New Roman"/>
                <w:i/>
                <w:iCs/>
                <w:sz w:val="24"/>
                <w:lang w:eastAsia="en-GB"/>
              </w:rPr>
              <w:t>Closed</w:t>
            </w:r>
            <w:r w:rsidRPr="00620EA6">
              <w:rPr>
                <w:rFonts w:ascii="Times New Roman" w:hAnsi="Times New Roman"/>
                <w:sz w:val="24"/>
                <w:lang w:eastAsia="en-GB"/>
              </w:rPr>
              <w:t xml:space="preserve">: the operational risk event has been </w:t>
            </w:r>
            <w:proofErr w:type="gramStart"/>
            <w:r w:rsidRPr="00620EA6">
              <w:rPr>
                <w:rFonts w:ascii="Times New Roman" w:hAnsi="Times New Roman"/>
                <w:sz w:val="24"/>
                <w:lang w:eastAsia="en-GB"/>
              </w:rPr>
              <w:t>concluded</w:t>
            </w:r>
            <w:proofErr w:type="gramEnd"/>
            <w:r w:rsidRPr="00620EA6">
              <w:rPr>
                <w:rFonts w:ascii="Times New Roman" w:hAnsi="Times New Roman"/>
                <w:sz w:val="24"/>
                <w:lang w:eastAsia="en-GB"/>
              </w:rPr>
              <w:t xml:space="preserve"> and no further developments are expected.</w:t>
            </w:r>
          </w:p>
          <w:p w14:paraId="43CEE400" w14:textId="3D436E4A" w:rsidR="00E720F8" w:rsidRPr="00620EA6" w:rsidRDefault="00E720F8" w:rsidP="000C47EB">
            <w:pPr>
              <w:tabs>
                <w:tab w:val="num" w:pos="720"/>
              </w:tabs>
              <w:spacing w:before="100" w:beforeAutospacing="1" w:after="100" w:afterAutospacing="1"/>
              <w:jc w:val="left"/>
              <w:rPr>
                <w:rStyle w:val="InstructionsTabelleberschrift"/>
                <w:rFonts w:ascii="Times New Roman" w:hAnsi="Times New Roman"/>
                <w:b w:val="0"/>
                <w:bCs w:val="0"/>
                <w:sz w:val="24"/>
                <w:lang w:eastAsia="en-GB"/>
              </w:rPr>
            </w:pPr>
            <w:r w:rsidRPr="00620EA6">
              <w:rPr>
                <w:rFonts w:ascii="Times New Roman" w:hAnsi="Times New Roman"/>
                <w:sz w:val="24"/>
                <w:lang w:eastAsia="en-GB"/>
              </w:rPr>
              <w:t xml:space="preserve">The status should reflect the situation </w:t>
            </w:r>
            <w:r w:rsidRPr="00620EA6">
              <w:rPr>
                <w:rFonts w:ascii="Times New Roman" w:hAnsi="Times New Roman"/>
                <w:b/>
                <w:bCs/>
                <w:sz w:val="24"/>
                <w:lang w:eastAsia="en-GB"/>
              </w:rPr>
              <w:t>at the reporting reference date</w:t>
            </w:r>
            <w:r w:rsidRPr="00620EA6">
              <w:rPr>
                <w:rFonts w:ascii="Times New Roman" w:hAnsi="Times New Roman"/>
                <w:sz w:val="24"/>
                <w:lang w:eastAsia="en-GB"/>
              </w:rPr>
              <w:t>. The value must be consistent with other reported data (e.g., amounts, recoveries, or timing fields)</w:t>
            </w:r>
          </w:p>
        </w:tc>
      </w:tr>
      <w:tr w:rsidR="00E720F8" w:rsidRPr="00620EA6" w14:paraId="65022677" w14:textId="77777777" w:rsidTr="00E132C3">
        <w:tc>
          <w:tcPr>
            <w:tcW w:w="1511" w:type="dxa"/>
          </w:tcPr>
          <w:p w14:paraId="6DADAFF7" w14:textId="77777777" w:rsidR="00E720F8" w:rsidRPr="00620EA6" w:rsidRDefault="00E720F8" w:rsidP="000C47EB">
            <w:pPr>
              <w:rPr>
                <w:rFonts w:ascii="Times New Roman" w:hAnsi="Times New Roman"/>
                <w:sz w:val="24"/>
                <w:lang w:eastAsia="de-DE"/>
              </w:rPr>
            </w:pPr>
            <w:r w:rsidRPr="00620EA6">
              <w:rPr>
                <w:rFonts w:ascii="Times New Roman" w:hAnsi="Times New Roman"/>
                <w:sz w:val="24"/>
                <w:lang w:eastAsia="de-DE"/>
              </w:rPr>
              <w:lastRenderedPageBreak/>
              <w:t>0040</w:t>
            </w:r>
          </w:p>
        </w:tc>
        <w:tc>
          <w:tcPr>
            <w:tcW w:w="7551" w:type="dxa"/>
          </w:tcPr>
          <w:p w14:paraId="3B4494D6" w14:textId="77777777" w:rsidR="00E720F8" w:rsidRPr="00620EA6" w:rsidRDefault="00E720F8" w:rsidP="000C47EB">
            <w:pPr>
              <w:rPr>
                <w:rStyle w:val="InstructionsTabelleberschrift"/>
                <w:rFonts w:ascii="Times New Roman" w:hAnsi="Times New Roman"/>
                <w:sz w:val="24"/>
              </w:rPr>
            </w:pPr>
            <w:r w:rsidRPr="00620EA6">
              <w:rPr>
                <w:rStyle w:val="InstructionsTabelleberschrift"/>
                <w:rFonts w:ascii="Times New Roman" w:eastAsiaTheme="majorEastAsia" w:hAnsi="Times New Roman"/>
                <w:sz w:val="24"/>
              </w:rPr>
              <w:t>Primary Event</w:t>
            </w:r>
          </w:p>
          <w:p w14:paraId="510EA431" w14:textId="5EEAF302" w:rsidR="00E720F8" w:rsidRPr="00620EA6" w:rsidRDefault="00E720F8" w:rsidP="000C47EB">
            <w:pPr>
              <w:spacing w:before="100" w:beforeAutospacing="1" w:after="100" w:afterAutospacing="1"/>
              <w:jc w:val="left"/>
              <w:rPr>
                <w:rFonts w:ascii="Times New Roman" w:hAnsi="Times New Roman"/>
                <w:sz w:val="24"/>
                <w:lang w:eastAsia="en-GB"/>
              </w:rPr>
            </w:pPr>
            <w:r w:rsidRPr="00620EA6">
              <w:rPr>
                <w:rFonts w:ascii="Times New Roman" w:hAnsi="Times New Roman"/>
                <w:sz w:val="24"/>
                <w:lang w:eastAsia="en-GB"/>
              </w:rPr>
              <w:t xml:space="preserve">The </w:t>
            </w:r>
            <w:r w:rsidRPr="00620EA6">
              <w:rPr>
                <w:rFonts w:ascii="Times New Roman" w:hAnsi="Times New Roman"/>
                <w:i/>
                <w:iCs/>
                <w:sz w:val="24"/>
                <w:lang w:eastAsia="en-GB"/>
              </w:rPr>
              <w:t>Primary Event</w:t>
            </w:r>
            <w:r w:rsidRPr="00620EA6">
              <w:rPr>
                <w:rFonts w:ascii="Times New Roman" w:hAnsi="Times New Roman"/>
                <w:sz w:val="24"/>
                <w:lang w:eastAsia="en-GB"/>
              </w:rPr>
              <w:t xml:space="preserve"> field identifies, for operational risk events affecting more than one legal entity and/or more than one business area</w:t>
            </w:r>
            <w:r w:rsidR="00BC7166" w:rsidRPr="00620EA6">
              <w:rPr>
                <w:rFonts w:ascii="Times New Roman" w:hAnsi="Times New Roman"/>
                <w:sz w:val="24"/>
                <w:lang w:eastAsia="en-GB"/>
              </w:rPr>
              <w:t xml:space="preserve"> within the same entity</w:t>
            </w:r>
            <w:r w:rsidRPr="00620EA6">
              <w:rPr>
                <w:rFonts w:ascii="Times New Roman" w:hAnsi="Times New Roman"/>
                <w:sz w:val="24"/>
                <w:lang w:eastAsia="en-GB"/>
              </w:rPr>
              <w:t xml:space="preserve">, the record that shall guide the determination of the </w:t>
            </w:r>
            <w:r w:rsidRPr="00620EA6">
              <w:rPr>
                <w:rFonts w:ascii="Times New Roman" w:hAnsi="Times New Roman"/>
                <w:b/>
                <w:bCs/>
                <w:sz w:val="24"/>
                <w:lang w:eastAsia="en-GB"/>
              </w:rPr>
              <w:t>Event Type (ET)</w:t>
            </w:r>
            <w:r w:rsidRPr="00620EA6">
              <w:rPr>
                <w:rFonts w:ascii="Times New Roman" w:hAnsi="Times New Roman"/>
                <w:sz w:val="24"/>
                <w:lang w:eastAsia="en-GB"/>
              </w:rPr>
              <w:t xml:space="preserve"> at consolidated group level</w:t>
            </w:r>
            <w:r w:rsidR="00DA00BC" w:rsidRPr="00620EA6">
              <w:rPr>
                <w:rFonts w:ascii="Times New Roman" w:hAnsi="Times New Roman"/>
                <w:sz w:val="24"/>
                <w:lang w:eastAsia="en-GB"/>
              </w:rPr>
              <w:t xml:space="preserve"> or at entity level in case of multi</w:t>
            </w:r>
            <w:r w:rsidR="007D4E75" w:rsidRPr="00620EA6">
              <w:rPr>
                <w:rFonts w:ascii="Times New Roman" w:hAnsi="Times New Roman"/>
                <w:sz w:val="24"/>
                <w:lang w:eastAsia="en-GB"/>
              </w:rPr>
              <w:t xml:space="preserve">ple </w:t>
            </w:r>
            <w:r w:rsidR="00DA00BC" w:rsidRPr="00620EA6">
              <w:rPr>
                <w:rFonts w:ascii="Times New Roman" w:hAnsi="Times New Roman"/>
                <w:sz w:val="24"/>
                <w:lang w:eastAsia="en-GB"/>
              </w:rPr>
              <w:t>business areas</w:t>
            </w:r>
            <w:r w:rsidR="00BC7166" w:rsidRPr="00620EA6">
              <w:rPr>
                <w:rFonts w:ascii="Times New Roman" w:hAnsi="Times New Roman"/>
                <w:sz w:val="24"/>
                <w:lang w:eastAsia="en-GB"/>
              </w:rPr>
              <w:t xml:space="preserve"> within the same entity</w:t>
            </w:r>
            <w:r w:rsidRPr="00620EA6">
              <w:rPr>
                <w:rFonts w:ascii="Times New Roman" w:hAnsi="Times New Roman"/>
                <w:sz w:val="24"/>
                <w:lang w:eastAsia="en-GB"/>
              </w:rPr>
              <w:t>.</w:t>
            </w:r>
          </w:p>
          <w:p w14:paraId="39BDCC76" w14:textId="2EBD1F33" w:rsidR="00E720F8" w:rsidRPr="00620EA6" w:rsidRDefault="00E720F8" w:rsidP="000C47EB">
            <w:pPr>
              <w:spacing w:before="100" w:beforeAutospacing="1" w:after="100" w:afterAutospacing="1"/>
              <w:jc w:val="left"/>
              <w:rPr>
                <w:rFonts w:ascii="Times New Roman" w:hAnsi="Times New Roman"/>
                <w:sz w:val="24"/>
                <w:lang w:eastAsia="en-GB"/>
              </w:rPr>
            </w:pPr>
            <w:r w:rsidRPr="00620EA6">
              <w:rPr>
                <w:rFonts w:ascii="Times New Roman" w:hAnsi="Times New Roman"/>
                <w:sz w:val="24"/>
                <w:lang w:eastAsia="en-GB"/>
              </w:rPr>
              <w:t xml:space="preserve">This field shall be reported </w:t>
            </w:r>
            <w:r w:rsidRPr="00620EA6">
              <w:rPr>
                <w:rFonts w:ascii="Times New Roman" w:hAnsi="Times New Roman"/>
                <w:b/>
                <w:bCs/>
                <w:sz w:val="24"/>
                <w:lang w:eastAsia="en-GB"/>
              </w:rPr>
              <w:t xml:space="preserve">only for </w:t>
            </w:r>
            <w:r w:rsidR="00BC7166" w:rsidRPr="00620EA6">
              <w:rPr>
                <w:rFonts w:ascii="Times New Roman" w:hAnsi="Times New Roman"/>
                <w:b/>
                <w:bCs/>
                <w:sz w:val="24"/>
                <w:lang w:eastAsia="en-GB"/>
              </w:rPr>
              <w:t xml:space="preserve">operational risk events affecting </w:t>
            </w:r>
            <w:r w:rsidRPr="00620EA6">
              <w:rPr>
                <w:rFonts w:ascii="Times New Roman" w:hAnsi="Times New Roman"/>
                <w:b/>
                <w:bCs/>
                <w:sz w:val="24"/>
                <w:lang w:eastAsia="en-GB"/>
              </w:rPr>
              <w:t>multi</w:t>
            </w:r>
            <w:r w:rsidR="00D21479" w:rsidRPr="00620EA6">
              <w:rPr>
                <w:rFonts w:ascii="Times New Roman" w:hAnsi="Times New Roman"/>
                <w:b/>
                <w:bCs/>
                <w:sz w:val="24"/>
                <w:lang w:eastAsia="en-GB"/>
              </w:rPr>
              <w:t xml:space="preserve">ple </w:t>
            </w:r>
            <w:r w:rsidRPr="00620EA6">
              <w:rPr>
                <w:rFonts w:ascii="Times New Roman" w:hAnsi="Times New Roman"/>
                <w:b/>
                <w:bCs/>
                <w:sz w:val="24"/>
                <w:lang w:eastAsia="en-GB"/>
              </w:rPr>
              <w:t>entit</w:t>
            </w:r>
            <w:r w:rsidR="00B45941" w:rsidRPr="00620EA6">
              <w:rPr>
                <w:rFonts w:ascii="Times New Roman" w:hAnsi="Times New Roman"/>
                <w:b/>
                <w:bCs/>
                <w:sz w:val="24"/>
                <w:lang w:eastAsia="en-GB"/>
              </w:rPr>
              <w:t>ies or multi</w:t>
            </w:r>
            <w:r w:rsidR="00D21479" w:rsidRPr="00620EA6">
              <w:rPr>
                <w:rFonts w:ascii="Times New Roman" w:hAnsi="Times New Roman"/>
                <w:b/>
                <w:bCs/>
                <w:sz w:val="24"/>
                <w:lang w:eastAsia="en-GB"/>
              </w:rPr>
              <w:t xml:space="preserve">ple </w:t>
            </w:r>
            <w:r w:rsidR="00B45941" w:rsidRPr="00620EA6">
              <w:rPr>
                <w:rFonts w:ascii="Times New Roman" w:hAnsi="Times New Roman"/>
                <w:b/>
                <w:bCs/>
                <w:sz w:val="24"/>
                <w:lang w:eastAsia="en-GB"/>
              </w:rPr>
              <w:t>business areas</w:t>
            </w:r>
            <w:r w:rsidR="00BC7166" w:rsidRPr="00620EA6">
              <w:rPr>
                <w:rFonts w:ascii="Times New Roman" w:hAnsi="Times New Roman"/>
                <w:b/>
                <w:bCs/>
                <w:sz w:val="24"/>
                <w:lang w:eastAsia="en-GB"/>
              </w:rPr>
              <w:t xml:space="preserve"> within the same entity</w:t>
            </w:r>
            <w:r w:rsidRPr="00620EA6">
              <w:rPr>
                <w:rFonts w:ascii="Times New Roman" w:hAnsi="Times New Roman"/>
                <w:b/>
                <w:bCs/>
                <w:sz w:val="24"/>
                <w:lang w:eastAsia="en-GB"/>
              </w:rPr>
              <w:t xml:space="preserve"> </w:t>
            </w:r>
            <w:r w:rsidRPr="00620EA6">
              <w:rPr>
                <w:rFonts w:ascii="Times New Roman" w:hAnsi="Times New Roman"/>
                <w:sz w:val="24"/>
                <w:lang w:eastAsia="en-GB"/>
              </w:rPr>
              <w:t>and shall take one of the following values:</w:t>
            </w:r>
          </w:p>
          <w:p w14:paraId="41598A7B" w14:textId="265B9DD8" w:rsidR="00E720F8" w:rsidRPr="00620EA6" w:rsidRDefault="00E720F8" w:rsidP="00E720F8">
            <w:pPr>
              <w:numPr>
                <w:ilvl w:val="0"/>
                <w:numId w:val="38"/>
              </w:numPr>
              <w:spacing w:before="100" w:beforeAutospacing="1" w:after="100" w:afterAutospacing="1"/>
              <w:jc w:val="left"/>
              <w:rPr>
                <w:rFonts w:ascii="Times New Roman" w:hAnsi="Times New Roman"/>
                <w:sz w:val="24"/>
                <w:lang w:eastAsia="en-GB"/>
              </w:rPr>
            </w:pPr>
            <w:r w:rsidRPr="00620EA6">
              <w:rPr>
                <w:rFonts w:ascii="Times New Roman" w:hAnsi="Times New Roman"/>
                <w:b/>
                <w:bCs/>
                <w:sz w:val="24"/>
                <w:lang w:eastAsia="en-GB"/>
              </w:rPr>
              <w:t>Y (Yes)</w:t>
            </w:r>
            <w:r w:rsidRPr="00620EA6">
              <w:rPr>
                <w:rFonts w:ascii="Times New Roman" w:hAnsi="Times New Roman"/>
                <w:sz w:val="24"/>
                <w:lang w:eastAsia="en-GB"/>
              </w:rPr>
              <w:t xml:space="preserve"> – the record is designated as the </w:t>
            </w:r>
            <w:r w:rsidRPr="00620EA6">
              <w:rPr>
                <w:rFonts w:ascii="Times New Roman" w:hAnsi="Times New Roman"/>
                <w:b/>
                <w:bCs/>
                <w:sz w:val="24"/>
                <w:lang w:eastAsia="en-GB"/>
              </w:rPr>
              <w:t>Primary Event</w:t>
            </w:r>
            <w:r w:rsidRPr="00620EA6">
              <w:rPr>
                <w:rFonts w:ascii="Times New Roman" w:hAnsi="Times New Roman"/>
                <w:sz w:val="24"/>
                <w:lang w:eastAsia="en-GB"/>
              </w:rPr>
              <w:t xml:space="preserve"> and shall be used to determine the Event Type (ET) of the consolidated group-level event</w:t>
            </w:r>
            <w:r w:rsidR="00BC7166" w:rsidRPr="00620EA6">
              <w:rPr>
                <w:rFonts w:ascii="Times New Roman" w:hAnsi="Times New Roman"/>
                <w:sz w:val="24"/>
                <w:lang w:eastAsia="en-GB"/>
              </w:rPr>
              <w:t xml:space="preserve"> or at entity level in case of multi-business areas within the same entity</w:t>
            </w:r>
            <w:r w:rsidRPr="00620EA6">
              <w:rPr>
                <w:rFonts w:ascii="Times New Roman" w:hAnsi="Times New Roman"/>
                <w:sz w:val="24"/>
                <w:lang w:eastAsia="en-GB"/>
              </w:rPr>
              <w:t>.</w:t>
            </w:r>
          </w:p>
          <w:p w14:paraId="232272B1" w14:textId="031D1BA8" w:rsidR="00E720F8" w:rsidRPr="00620EA6" w:rsidRDefault="00E720F8" w:rsidP="00E720F8">
            <w:pPr>
              <w:numPr>
                <w:ilvl w:val="0"/>
                <w:numId w:val="38"/>
              </w:numPr>
              <w:spacing w:before="100" w:beforeAutospacing="1" w:after="100" w:afterAutospacing="1"/>
              <w:jc w:val="left"/>
              <w:rPr>
                <w:rFonts w:ascii="Times New Roman" w:hAnsi="Times New Roman"/>
                <w:sz w:val="24"/>
                <w:lang w:eastAsia="en-GB"/>
              </w:rPr>
            </w:pPr>
            <w:r w:rsidRPr="00620EA6">
              <w:rPr>
                <w:rFonts w:ascii="Times New Roman" w:hAnsi="Times New Roman"/>
                <w:b/>
                <w:bCs/>
                <w:sz w:val="24"/>
                <w:lang w:eastAsia="en-GB"/>
              </w:rPr>
              <w:t>N (No)</w:t>
            </w:r>
            <w:r w:rsidRPr="00620EA6">
              <w:rPr>
                <w:rFonts w:ascii="Times New Roman" w:hAnsi="Times New Roman"/>
                <w:sz w:val="24"/>
                <w:lang w:eastAsia="en-GB"/>
              </w:rPr>
              <w:t xml:space="preserve"> – the record refers to the same multi-entit</w:t>
            </w:r>
            <w:r w:rsidR="00B45941" w:rsidRPr="00620EA6">
              <w:rPr>
                <w:rFonts w:ascii="Times New Roman" w:hAnsi="Times New Roman"/>
                <w:sz w:val="24"/>
                <w:lang w:eastAsia="en-GB"/>
              </w:rPr>
              <w:t>ies or multi-busine</w:t>
            </w:r>
            <w:r w:rsidR="00093410" w:rsidRPr="00620EA6">
              <w:rPr>
                <w:rFonts w:ascii="Times New Roman" w:hAnsi="Times New Roman"/>
                <w:sz w:val="24"/>
                <w:lang w:eastAsia="en-GB"/>
              </w:rPr>
              <w:t>s</w:t>
            </w:r>
            <w:r w:rsidR="00B45941" w:rsidRPr="00620EA6">
              <w:rPr>
                <w:rFonts w:ascii="Times New Roman" w:hAnsi="Times New Roman"/>
                <w:sz w:val="24"/>
                <w:lang w:eastAsia="en-GB"/>
              </w:rPr>
              <w:t>s areas</w:t>
            </w:r>
            <w:r w:rsidRPr="00620EA6">
              <w:rPr>
                <w:rFonts w:ascii="Times New Roman" w:hAnsi="Times New Roman"/>
                <w:sz w:val="24"/>
                <w:lang w:eastAsia="en-GB"/>
              </w:rPr>
              <w:t xml:space="preserve"> event but shall </w:t>
            </w:r>
            <w:r w:rsidRPr="00620EA6">
              <w:rPr>
                <w:rFonts w:ascii="Times New Roman" w:hAnsi="Times New Roman"/>
                <w:b/>
                <w:bCs/>
                <w:sz w:val="24"/>
                <w:lang w:eastAsia="en-GB"/>
              </w:rPr>
              <w:t>not</w:t>
            </w:r>
            <w:r w:rsidRPr="00620EA6">
              <w:rPr>
                <w:rFonts w:ascii="Times New Roman" w:hAnsi="Times New Roman"/>
                <w:sz w:val="24"/>
                <w:lang w:eastAsia="en-GB"/>
              </w:rPr>
              <w:t xml:space="preserve"> be used to determine the Event Type at consolidated level.</w:t>
            </w:r>
          </w:p>
          <w:p w14:paraId="7B96BA40" w14:textId="77777777" w:rsidR="00E720F8" w:rsidRPr="00620EA6" w:rsidRDefault="00E720F8" w:rsidP="000C47EB">
            <w:pPr>
              <w:spacing w:before="100" w:beforeAutospacing="1" w:after="100" w:afterAutospacing="1"/>
              <w:jc w:val="left"/>
              <w:rPr>
                <w:rFonts w:ascii="Times New Roman" w:hAnsi="Times New Roman"/>
                <w:sz w:val="24"/>
                <w:lang w:eastAsia="en-GB"/>
              </w:rPr>
            </w:pPr>
            <w:r w:rsidRPr="00620EA6">
              <w:rPr>
                <w:rFonts w:ascii="Times New Roman" w:hAnsi="Times New Roman"/>
                <w:sz w:val="24"/>
                <w:lang w:eastAsia="en-GB"/>
              </w:rPr>
              <w:t xml:space="preserve">Where an operational risk event </w:t>
            </w:r>
            <w:r w:rsidRPr="00620EA6">
              <w:rPr>
                <w:rFonts w:ascii="Times New Roman" w:hAnsi="Times New Roman"/>
                <w:b/>
                <w:bCs/>
                <w:sz w:val="24"/>
                <w:lang w:eastAsia="en-GB"/>
              </w:rPr>
              <w:t xml:space="preserve">does not involve more than one legal entity </w:t>
            </w:r>
            <w:r w:rsidRPr="00620EA6">
              <w:rPr>
                <w:rFonts w:ascii="Times New Roman" w:hAnsi="Times New Roman"/>
                <w:sz w:val="24"/>
                <w:lang w:eastAsia="en-GB"/>
              </w:rPr>
              <w:t xml:space="preserve">and/or more than one business area, the </w:t>
            </w:r>
            <w:r w:rsidRPr="00620EA6">
              <w:rPr>
                <w:rFonts w:ascii="Times New Roman" w:hAnsi="Times New Roman"/>
                <w:i/>
                <w:iCs/>
                <w:sz w:val="24"/>
                <w:lang w:eastAsia="en-GB"/>
              </w:rPr>
              <w:t>Primary Event</w:t>
            </w:r>
            <w:r w:rsidRPr="00620EA6">
              <w:rPr>
                <w:rFonts w:ascii="Times New Roman" w:hAnsi="Times New Roman"/>
                <w:sz w:val="24"/>
                <w:lang w:eastAsia="en-GB"/>
              </w:rPr>
              <w:t xml:space="preserve"> field shall be </w:t>
            </w:r>
            <w:r w:rsidRPr="00620EA6">
              <w:rPr>
                <w:rFonts w:ascii="Times New Roman" w:hAnsi="Times New Roman"/>
                <w:b/>
                <w:bCs/>
                <w:sz w:val="24"/>
                <w:lang w:eastAsia="en-GB"/>
              </w:rPr>
              <w:t>left blank</w:t>
            </w:r>
            <w:r w:rsidRPr="00620EA6">
              <w:rPr>
                <w:rFonts w:ascii="Times New Roman" w:hAnsi="Times New Roman"/>
                <w:sz w:val="24"/>
                <w:lang w:eastAsia="en-GB"/>
              </w:rPr>
              <w:t>.</w:t>
            </w:r>
          </w:p>
          <w:p w14:paraId="6074342A" w14:textId="6B9BF31E" w:rsidR="00E720F8" w:rsidRPr="00620EA6" w:rsidRDefault="00E720F8" w:rsidP="000C47EB">
            <w:pPr>
              <w:tabs>
                <w:tab w:val="num" w:pos="720"/>
              </w:tabs>
              <w:spacing w:before="100" w:beforeAutospacing="1" w:after="100" w:afterAutospacing="1"/>
              <w:jc w:val="left"/>
              <w:rPr>
                <w:rStyle w:val="InstructionsTabelleberschrift"/>
                <w:rFonts w:ascii="Times New Roman" w:hAnsi="Times New Roman"/>
                <w:b w:val="0"/>
                <w:bCs w:val="0"/>
                <w:sz w:val="24"/>
                <w:lang w:eastAsia="en-GB"/>
              </w:rPr>
            </w:pPr>
            <w:r w:rsidRPr="00620EA6">
              <w:rPr>
                <w:rFonts w:ascii="Times New Roman" w:hAnsi="Times New Roman"/>
                <w:sz w:val="24"/>
                <w:lang w:eastAsia="en-GB"/>
              </w:rPr>
              <w:t>For each</w:t>
            </w:r>
            <w:r w:rsidR="00BC7166" w:rsidRPr="00620EA6">
              <w:rPr>
                <w:rFonts w:ascii="Times New Roman" w:hAnsi="Times New Roman"/>
                <w:sz w:val="24"/>
                <w:lang w:eastAsia="en-GB"/>
              </w:rPr>
              <w:t xml:space="preserve"> operational risk event affecting</w:t>
            </w:r>
            <w:r w:rsidRPr="00620EA6">
              <w:rPr>
                <w:rFonts w:ascii="Times New Roman" w:hAnsi="Times New Roman"/>
                <w:sz w:val="24"/>
                <w:lang w:eastAsia="en-GB"/>
              </w:rPr>
              <w:t xml:space="preserve"> multi</w:t>
            </w:r>
            <w:r w:rsidR="00D21479" w:rsidRPr="00620EA6">
              <w:rPr>
                <w:rFonts w:ascii="Times New Roman" w:hAnsi="Times New Roman"/>
                <w:sz w:val="24"/>
                <w:lang w:eastAsia="en-GB"/>
              </w:rPr>
              <w:t xml:space="preserve">ple </w:t>
            </w:r>
            <w:r w:rsidRPr="00620EA6">
              <w:rPr>
                <w:rFonts w:ascii="Times New Roman" w:hAnsi="Times New Roman"/>
                <w:sz w:val="24"/>
                <w:lang w:eastAsia="en-GB"/>
              </w:rPr>
              <w:t>entit</w:t>
            </w:r>
            <w:r w:rsidR="00B45941" w:rsidRPr="00620EA6">
              <w:rPr>
                <w:rFonts w:ascii="Times New Roman" w:hAnsi="Times New Roman"/>
                <w:sz w:val="24"/>
                <w:lang w:eastAsia="en-GB"/>
              </w:rPr>
              <w:t>ies or multi</w:t>
            </w:r>
            <w:r w:rsidR="00D21479" w:rsidRPr="00620EA6">
              <w:rPr>
                <w:rFonts w:ascii="Times New Roman" w:hAnsi="Times New Roman"/>
                <w:sz w:val="24"/>
                <w:lang w:eastAsia="en-GB"/>
              </w:rPr>
              <w:t xml:space="preserve">ple </w:t>
            </w:r>
            <w:r w:rsidR="00B45941" w:rsidRPr="00620EA6">
              <w:rPr>
                <w:rFonts w:ascii="Times New Roman" w:hAnsi="Times New Roman"/>
                <w:sz w:val="24"/>
                <w:lang w:eastAsia="en-GB"/>
              </w:rPr>
              <w:t>business areas</w:t>
            </w:r>
            <w:r w:rsidR="00BC7166" w:rsidRPr="00620EA6">
              <w:rPr>
                <w:rFonts w:ascii="Times New Roman" w:hAnsi="Times New Roman"/>
                <w:sz w:val="24"/>
                <w:lang w:eastAsia="en-GB"/>
              </w:rPr>
              <w:t xml:space="preserve"> within the same entity</w:t>
            </w:r>
            <w:r w:rsidR="00D21479" w:rsidRPr="00620EA6">
              <w:rPr>
                <w:rFonts w:ascii="Times New Roman" w:hAnsi="Times New Roman"/>
                <w:sz w:val="24"/>
                <w:lang w:eastAsia="en-GB"/>
              </w:rPr>
              <w:t xml:space="preserve"> </w:t>
            </w:r>
            <w:r w:rsidRPr="00620EA6">
              <w:rPr>
                <w:rFonts w:ascii="Times New Roman" w:hAnsi="Times New Roman"/>
                <w:b/>
                <w:bCs/>
                <w:sz w:val="24"/>
                <w:lang w:eastAsia="en-GB"/>
              </w:rPr>
              <w:t>exactly one record</w:t>
            </w:r>
            <w:r w:rsidRPr="00620EA6">
              <w:rPr>
                <w:rFonts w:ascii="Times New Roman" w:hAnsi="Times New Roman"/>
                <w:sz w:val="24"/>
                <w:lang w:eastAsia="en-GB"/>
              </w:rPr>
              <w:t xml:space="preserve"> shall be reported with value Y. All remaining records referring to the same Event ID shall be reported with value </w:t>
            </w:r>
            <w:r w:rsidRPr="00620EA6">
              <w:rPr>
                <w:rFonts w:ascii="Times New Roman" w:hAnsi="Times New Roman"/>
                <w:b/>
                <w:bCs/>
                <w:sz w:val="24"/>
                <w:lang w:eastAsia="en-GB"/>
              </w:rPr>
              <w:t>N</w:t>
            </w:r>
            <w:r w:rsidRPr="00620EA6">
              <w:rPr>
                <w:rFonts w:ascii="Times New Roman" w:hAnsi="Times New Roman"/>
                <w:sz w:val="24"/>
                <w:lang w:eastAsia="en-GB"/>
              </w:rPr>
              <w:t xml:space="preserve">. The designation of the Primary Event shall be </w:t>
            </w:r>
            <w:r w:rsidRPr="00620EA6">
              <w:rPr>
                <w:rFonts w:ascii="Times New Roman" w:hAnsi="Times New Roman"/>
                <w:b/>
                <w:bCs/>
                <w:sz w:val="24"/>
                <w:lang w:eastAsia="en-GB"/>
              </w:rPr>
              <w:t>consistent over time</w:t>
            </w:r>
            <w:r w:rsidRPr="00620EA6">
              <w:rPr>
                <w:rFonts w:ascii="Times New Roman" w:hAnsi="Times New Roman"/>
                <w:sz w:val="24"/>
                <w:lang w:eastAsia="en-GB"/>
              </w:rPr>
              <w:t xml:space="preserve"> and across reporting periods.</w:t>
            </w:r>
          </w:p>
        </w:tc>
      </w:tr>
      <w:tr w:rsidR="00E720F8" w:rsidRPr="00620EA6" w14:paraId="2AF075E6" w14:textId="77777777" w:rsidTr="00E132C3">
        <w:tc>
          <w:tcPr>
            <w:tcW w:w="1511" w:type="dxa"/>
          </w:tcPr>
          <w:p w14:paraId="1E8AA30F" w14:textId="77777777" w:rsidR="00E720F8" w:rsidRPr="00620EA6" w:rsidRDefault="00E720F8" w:rsidP="000C47EB">
            <w:pPr>
              <w:rPr>
                <w:rFonts w:ascii="Times New Roman" w:hAnsi="Times New Roman"/>
                <w:sz w:val="24"/>
                <w:lang w:eastAsia="de-DE"/>
              </w:rPr>
            </w:pPr>
            <w:r w:rsidRPr="00620EA6">
              <w:rPr>
                <w:rFonts w:ascii="Times New Roman" w:hAnsi="Times New Roman"/>
                <w:sz w:val="24"/>
                <w:lang w:eastAsia="de-DE"/>
              </w:rPr>
              <w:t>0050</w:t>
            </w:r>
          </w:p>
        </w:tc>
        <w:tc>
          <w:tcPr>
            <w:tcW w:w="7551" w:type="dxa"/>
          </w:tcPr>
          <w:p w14:paraId="479E4BA4" w14:textId="77777777" w:rsidR="00E720F8" w:rsidRPr="00620EA6" w:rsidRDefault="00E720F8" w:rsidP="000C47EB">
            <w:pPr>
              <w:rPr>
                <w:rStyle w:val="InstructionsTabelleberschrift"/>
                <w:rFonts w:ascii="Times New Roman" w:eastAsiaTheme="majorEastAsia" w:hAnsi="Times New Roman"/>
                <w:sz w:val="24"/>
              </w:rPr>
            </w:pPr>
            <w:r w:rsidRPr="00620EA6">
              <w:rPr>
                <w:rStyle w:val="InstructionsTabelleberschrift"/>
                <w:rFonts w:ascii="Times New Roman" w:eastAsiaTheme="majorEastAsia" w:hAnsi="Times New Roman"/>
                <w:sz w:val="24"/>
              </w:rPr>
              <w:t>Loss Adjustments</w:t>
            </w:r>
          </w:p>
          <w:p w14:paraId="0A6F21D6" w14:textId="58CAB0D2" w:rsidR="008E47E0" w:rsidRPr="00620EA6" w:rsidRDefault="00E720F8" w:rsidP="000C47EB">
            <w:pPr>
              <w:rPr>
                <w:rFonts w:ascii="Times New Roman" w:hAnsi="Times New Roman"/>
                <w:sz w:val="24"/>
                <w:lang w:eastAsia="en-GB"/>
              </w:rPr>
            </w:pPr>
            <w:r w:rsidRPr="00620EA6">
              <w:rPr>
                <w:rFonts w:ascii="Times New Roman" w:hAnsi="Times New Roman"/>
                <w:sz w:val="24"/>
                <w:lang w:eastAsia="en-GB"/>
              </w:rPr>
              <w:t xml:space="preserve">The </w:t>
            </w:r>
            <w:r w:rsidRPr="00620EA6">
              <w:rPr>
                <w:rFonts w:ascii="Times New Roman" w:hAnsi="Times New Roman"/>
                <w:i/>
                <w:iCs/>
                <w:sz w:val="24"/>
                <w:lang w:eastAsia="en-GB"/>
              </w:rPr>
              <w:t>Loss Adjustments</w:t>
            </w:r>
            <w:r w:rsidRPr="00620EA6">
              <w:rPr>
                <w:rFonts w:ascii="Times New Roman" w:hAnsi="Times New Roman"/>
                <w:sz w:val="24"/>
                <w:lang w:eastAsia="en-GB"/>
              </w:rPr>
              <w:t xml:space="preserve"> field indicates whether an operational risk event reported</w:t>
            </w:r>
            <w:r w:rsidR="00AD44C5" w:rsidRPr="00620EA6">
              <w:rPr>
                <w:rFonts w:ascii="Times New Roman" w:hAnsi="Times New Roman"/>
                <w:sz w:val="24"/>
                <w:lang w:eastAsia="en-GB"/>
              </w:rPr>
              <w:t xml:space="preserve"> </w:t>
            </w:r>
            <w:r w:rsidRPr="00620EA6">
              <w:rPr>
                <w:rFonts w:ascii="Times New Roman" w:hAnsi="Times New Roman"/>
                <w:sz w:val="24"/>
                <w:lang w:eastAsia="en-GB"/>
              </w:rPr>
              <w:t xml:space="preserve">in prior periods </w:t>
            </w:r>
            <w:r w:rsidR="00BC7166" w:rsidRPr="00620EA6">
              <w:rPr>
                <w:rFonts w:ascii="Times New Roman" w:hAnsi="Times New Roman"/>
                <w:sz w:val="24"/>
                <w:lang w:eastAsia="en-GB"/>
              </w:rPr>
              <w:t xml:space="preserve">in this reporting </w:t>
            </w:r>
            <w:r w:rsidRPr="00620EA6">
              <w:rPr>
                <w:rFonts w:ascii="Times New Roman" w:hAnsi="Times New Roman"/>
                <w:sz w:val="24"/>
                <w:lang w:eastAsia="en-GB"/>
              </w:rPr>
              <w:t xml:space="preserve">has been subject to any </w:t>
            </w:r>
            <w:r w:rsidRPr="00620EA6">
              <w:rPr>
                <w:rFonts w:ascii="Times New Roman" w:hAnsi="Times New Roman"/>
                <w:b/>
                <w:bCs/>
                <w:sz w:val="24"/>
                <w:lang w:eastAsia="en-GB"/>
              </w:rPr>
              <w:t>adjustments</w:t>
            </w:r>
            <w:r w:rsidRPr="00620EA6">
              <w:rPr>
                <w:rFonts w:ascii="Times New Roman" w:hAnsi="Times New Roman"/>
                <w:sz w:val="24"/>
                <w:lang w:eastAsia="en-GB"/>
              </w:rPr>
              <w:t xml:space="preserve"> during the current reporting period. </w:t>
            </w:r>
            <w:r w:rsidR="008E47E0" w:rsidRPr="00620EA6">
              <w:rPr>
                <w:rFonts w:ascii="Times New Roman" w:hAnsi="Times New Roman"/>
                <w:sz w:val="24"/>
                <w:lang w:eastAsia="en-GB"/>
              </w:rPr>
              <w:t>The Loss adjustments field also includes adjustments to event</w:t>
            </w:r>
            <w:r w:rsidR="00691F72" w:rsidRPr="00C27728">
              <w:rPr>
                <w:rFonts w:ascii="Times New Roman" w:hAnsi="Times New Roman"/>
                <w:sz w:val="24"/>
                <w:lang w:eastAsia="en-GB"/>
              </w:rPr>
              <w:t>s</w:t>
            </w:r>
            <w:r w:rsidR="008E47E0" w:rsidRPr="00620EA6">
              <w:rPr>
                <w:rFonts w:ascii="Times New Roman" w:hAnsi="Times New Roman"/>
                <w:sz w:val="24"/>
                <w:lang w:eastAsia="en-GB"/>
              </w:rPr>
              <w:t xml:space="preserve"> never reported in this reporting and accounte</w:t>
            </w:r>
            <w:r w:rsidR="008E47E0" w:rsidRPr="00C27728">
              <w:rPr>
                <w:rFonts w:ascii="Times New Roman" w:hAnsi="Times New Roman"/>
                <w:sz w:val="24"/>
                <w:lang w:eastAsia="en-GB"/>
              </w:rPr>
              <w:t>d</w:t>
            </w:r>
            <w:r w:rsidR="008E47E0" w:rsidRPr="00620EA6">
              <w:rPr>
                <w:rFonts w:ascii="Times New Roman" w:hAnsi="Times New Roman"/>
                <w:sz w:val="24"/>
                <w:lang w:eastAsia="en-GB"/>
              </w:rPr>
              <w:t xml:space="preserve"> for the first time </w:t>
            </w:r>
            <w:r w:rsidR="00CB7192" w:rsidRPr="00C27728">
              <w:rPr>
                <w:rFonts w:ascii="Times New Roman" w:hAnsi="Times New Roman"/>
                <w:sz w:val="24"/>
                <w:lang w:eastAsia="en-GB"/>
              </w:rPr>
              <w:t>in previous financial years</w:t>
            </w:r>
            <w:r w:rsidR="00DC5CB7" w:rsidRPr="00620EA6">
              <w:rPr>
                <w:rFonts w:ascii="Times New Roman" w:hAnsi="Times New Roman"/>
                <w:sz w:val="24"/>
                <w:lang w:eastAsia="en-GB"/>
              </w:rPr>
              <w:t>.</w:t>
            </w:r>
          </w:p>
          <w:p w14:paraId="1EC8C093" w14:textId="48694B00" w:rsidR="00E720F8" w:rsidRPr="00620EA6" w:rsidRDefault="00E720F8" w:rsidP="000C47EB">
            <w:pPr>
              <w:rPr>
                <w:rFonts w:ascii="Times New Roman" w:hAnsi="Times New Roman"/>
                <w:sz w:val="24"/>
                <w:lang w:eastAsia="en-GB"/>
              </w:rPr>
            </w:pPr>
            <w:r w:rsidRPr="00620EA6">
              <w:rPr>
                <w:rFonts w:ascii="Times New Roman" w:hAnsi="Times New Roman"/>
                <w:sz w:val="24"/>
                <w:lang w:eastAsia="en-GB"/>
              </w:rPr>
              <w:t xml:space="preserve">Adjustments reflect changes to previously reported losses and allow </w:t>
            </w:r>
            <w:r w:rsidR="00AD44C5" w:rsidRPr="00620EA6">
              <w:rPr>
                <w:rFonts w:ascii="Times New Roman" w:hAnsi="Times New Roman"/>
                <w:sz w:val="24"/>
                <w:lang w:eastAsia="en-GB"/>
              </w:rPr>
              <w:t>Competent Authorities</w:t>
            </w:r>
            <w:r w:rsidRPr="00620EA6">
              <w:rPr>
                <w:rFonts w:ascii="Times New Roman" w:hAnsi="Times New Roman"/>
                <w:sz w:val="24"/>
                <w:lang w:eastAsia="en-GB"/>
              </w:rPr>
              <w:t xml:space="preserve"> to monitor the evolution of operational risk events over time.</w:t>
            </w:r>
          </w:p>
          <w:p w14:paraId="169093C2" w14:textId="77777777" w:rsidR="00E720F8" w:rsidRPr="00620EA6" w:rsidRDefault="00E720F8" w:rsidP="000C47EB">
            <w:pPr>
              <w:rPr>
                <w:rFonts w:ascii="Times New Roman" w:hAnsi="Times New Roman"/>
                <w:sz w:val="24"/>
                <w:lang w:eastAsia="en-GB"/>
              </w:rPr>
            </w:pPr>
            <w:r w:rsidRPr="00620EA6">
              <w:rPr>
                <w:rFonts w:ascii="Times New Roman" w:hAnsi="Times New Roman"/>
                <w:sz w:val="24"/>
                <w:lang w:eastAsia="en-GB"/>
              </w:rPr>
              <w:t xml:space="preserve">Institutions shall report </w:t>
            </w:r>
            <w:r w:rsidRPr="00620EA6">
              <w:rPr>
                <w:rFonts w:ascii="Times New Roman" w:hAnsi="Times New Roman"/>
                <w:b/>
                <w:bCs/>
                <w:sz w:val="24"/>
                <w:lang w:eastAsia="en-GB"/>
              </w:rPr>
              <w:t>Y</w:t>
            </w:r>
            <w:r w:rsidRPr="00620EA6">
              <w:rPr>
                <w:rFonts w:ascii="Times New Roman" w:hAnsi="Times New Roman"/>
                <w:sz w:val="24"/>
                <w:lang w:eastAsia="en-GB"/>
              </w:rPr>
              <w:t xml:space="preserve"> (</w:t>
            </w:r>
            <w:r w:rsidRPr="00620EA6">
              <w:rPr>
                <w:rFonts w:ascii="Times New Roman" w:hAnsi="Times New Roman"/>
                <w:b/>
                <w:bCs/>
                <w:sz w:val="24"/>
                <w:lang w:eastAsia="en-GB"/>
              </w:rPr>
              <w:t xml:space="preserve">Yes) </w:t>
            </w:r>
            <w:r w:rsidRPr="00620EA6">
              <w:rPr>
                <w:rFonts w:ascii="Times New Roman" w:hAnsi="Times New Roman"/>
                <w:sz w:val="24"/>
                <w:lang w:eastAsia="en-GB"/>
              </w:rPr>
              <w:t xml:space="preserve">in the Loss Adjustments field if </w:t>
            </w:r>
            <w:r w:rsidRPr="00620EA6">
              <w:rPr>
                <w:rFonts w:ascii="Times New Roman" w:hAnsi="Times New Roman"/>
                <w:b/>
                <w:bCs/>
                <w:sz w:val="24"/>
                <w:lang w:eastAsia="en-GB"/>
              </w:rPr>
              <w:t>any positive or negative adjustment</w:t>
            </w:r>
            <w:r w:rsidRPr="00620EA6">
              <w:rPr>
                <w:rFonts w:ascii="Times New Roman" w:hAnsi="Times New Roman"/>
                <w:sz w:val="24"/>
                <w:lang w:eastAsia="en-GB"/>
              </w:rPr>
              <w:t xml:space="preserve"> has been made to a previously reported operational </w:t>
            </w:r>
            <w:r w:rsidRPr="00620EA6">
              <w:rPr>
                <w:rFonts w:ascii="Times New Roman" w:hAnsi="Times New Roman"/>
                <w:sz w:val="24"/>
                <w:lang w:eastAsia="en-GB"/>
              </w:rPr>
              <w:lastRenderedPageBreak/>
              <w:t xml:space="preserve">risk event during the current reporting period. If no adjustments have been made, the field shall be reported as </w:t>
            </w:r>
            <w:r w:rsidRPr="00620EA6">
              <w:rPr>
                <w:rFonts w:ascii="Times New Roman" w:hAnsi="Times New Roman"/>
                <w:b/>
                <w:bCs/>
                <w:sz w:val="24"/>
                <w:lang w:eastAsia="en-GB"/>
              </w:rPr>
              <w:t>N (No)</w:t>
            </w:r>
            <w:r w:rsidRPr="00620EA6">
              <w:rPr>
                <w:rFonts w:ascii="Times New Roman" w:hAnsi="Times New Roman"/>
                <w:sz w:val="24"/>
                <w:lang w:eastAsia="en-GB"/>
              </w:rPr>
              <w:t>.</w:t>
            </w:r>
          </w:p>
          <w:p w14:paraId="43813079" w14:textId="77777777" w:rsidR="00E720F8" w:rsidRPr="00620EA6" w:rsidRDefault="00E720F8" w:rsidP="000C47EB">
            <w:pPr>
              <w:rPr>
                <w:rFonts w:ascii="Times New Roman" w:hAnsi="Times New Roman"/>
                <w:sz w:val="24"/>
                <w:lang w:eastAsia="en-GB"/>
              </w:rPr>
            </w:pPr>
            <w:r w:rsidRPr="00620EA6">
              <w:rPr>
                <w:rFonts w:ascii="Times New Roman" w:hAnsi="Times New Roman"/>
                <w:sz w:val="24"/>
                <w:lang w:eastAsia="en-GB"/>
              </w:rPr>
              <w:t>Positive adjustments include increases in previously reported gross losses, such as additional settlements, increases in provisions, or linked loss events. Negative adjustments include decreases in previously reported gross losses, such as reductions in provisions or corrections to previously overestimated losses.</w:t>
            </w:r>
          </w:p>
          <w:p w14:paraId="416A6D50" w14:textId="17AB0E75" w:rsidR="00E720F8" w:rsidRPr="00620EA6" w:rsidRDefault="00E720F8" w:rsidP="00E132C3">
            <w:pPr>
              <w:rPr>
                <w:rStyle w:val="InstructionsTabelleberschrift"/>
                <w:rFonts w:ascii="Times New Roman" w:hAnsi="Times New Roman"/>
                <w:b w:val="0"/>
                <w:bCs w:val="0"/>
                <w:sz w:val="24"/>
                <w:lang w:eastAsia="en-GB"/>
              </w:rPr>
            </w:pPr>
            <w:r w:rsidRPr="00620EA6">
              <w:rPr>
                <w:rFonts w:ascii="Times New Roman" w:hAnsi="Times New Roman"/>
                <w:sz w:val="24"/>
                <w:lang w:eastAsia="en-GB"/>
              </w:rPr>
              <w:t xml:space="preserve">Where multiple adjustments are made for a single loss event within the reporting period, the </w:t>
            </w:r>
            <w:r w:rsidRPr="00620EA6">
              <w:rPr>
                <w:rFonts w:ascii="Times New Roman" w:hAnsi="Times New Roman"/>
                <w:b/>
                <w:bCs/>
                <w:sz w:val="24"/>
                <w:lang w:eastAsia="en-GB"/>
              </w:rPr>
              <w:t xml:space="preserve">net sum of all adjustments, </w:t>
            </w:r>
            <w:r w:rsidRPr="00620EA6">
              <w:rPr>
                <w:rFonts w:ascii="Times New Roman" w:hAnsi="Times New Roman"/>
                <w:sz w:val="24"/>
                <w:lang w:eastAsia="en-GB"/>
              </w:rPr>
              <w:t xml:space="preserve">considering whether they are positive or negative, shall be calculated and reported. However, the </w:t>
            </w:r>
            <w:r w:rsidRPr="00620EA6">
              <w:rPr>
                <w:rFonts w:ascii="Times New Roman" w:hAnsi="Times New Roman"/>
                <w:b/>
                <w:bCs/>
                <w:sz w:val="24"/>
                <w:lang w:eastAsia="en-GB"/>
              </w:rPr>
              <w:t>net adjustment amount itself is not reported in this field</w:t>
            </w:r>
            <w:r w:rsidRPr="00620EA6">
              <w:rPr>
                <w:rFonts w:ascii="Times New Roman" w:hAnsi="Times New Roman"/>
                <w:sz w:val="24"/>
                <w:lang w:eastAsia="en-GB"/>
              </w:rPr>
              <w:t xml:space="preserve">. Instead, any changes in amounts must be reflected in the </w:t>
            </w:r>
            <w:r w:rsidRPr="00620EA6">
              <w:rPr>
                <w:rFonts w:ascii="Times New Roman" w:hAnsi="Times New Roman"/>
                <w:b/>
                <w:bCs/>
                <w:sz w:val="24"/>
                <w:lang w:eastAsia="en-GB"/>
              </w:rPr>
              <w:t>Gross Loss</w:t>
            </w:r>
            <w:r w:rsidR="00BC7166" w:rsidRPr="00620EA6">
              <w:rPr>
                <w:rFonts w:ascii="Times New Roman" w:hAnsi="Times New Roman"/>
                <w:b/>
                <w:bCs/>
                <w:sz w:val="24"/>
                <w:lang w:eastAsia="en-GB"/>
              </w:rPr>
              <w:t xml:space="preserve"> field</w:t>
            </w:r>
            <w:r w:rsidRPr="00620EA6">
              <w:rPr>
                <w:rFonts w:ascii="Times New Roman" w:hAnsi="Times New Roman"/>
                <w:sz w:val="24"/>
                <w:lang w:eastAsia="en-GB"/>
              </w:rPr>
              <w:t>, in accordance with normal reporting rules.</w:t>
            </w:r>
          </w:p>
        </w:tc>
      </w:tr>
      <w:tr w:rsidR="00E720F8" w:rsidRPr="00620EA6" w14:paraId="51AC8802" w14:textId="77777777" w:rsidTr="00E132C3">
        <w:tc>
          <w:tcPr>
            <w:tcW w:w="1511" w:type="dxa"/>
          </w:tcPr>
          <w:p w14:paraId="65E7B83E" w14:textId="77777777" w:rsidR="00E720F8" w:rsidRPr="00620EA6" w:rsidRDefault="00E720F8" w:rsidP="000C47EB">
            <w:pPr>
              <w:rPr>
                <w:rFonts w:ascii="Times New Roman" w:hAnsi="Times New Roman"/>
                <w:sz w:val="24"/>
                <w:lang w:eastAsia="de-DE"/>
              </w:rPr>
            </w:pPr>
            <w:r w:rsidRPr="00620EA6">
              <w:rPr>
                <w:rFonts w:ascii="Times New Roman" w:hAnsi="Times New Roman"/>
                <w:sz w:val="24"/>
                <w:lang w:eastAsia="de-DE"/>
              </w:rPr>
              <w:lastRenderedPageBreak/>
              <w:t>0060</w:t>
            </w:r>
          </w:p>
        </w:tc>
        <w:tc>
          <w:tcPr>
            <w:tcW w:w="7551" w:type="dxa"/>
          </w:tcPr>
          <w:p w14:paraId="05940B80" w14:textId="77777777" w:rsidR="00E720F8" w:rsidRPr="00620EA6" w:rsidRDefault="00E720F8" w:rsidP="000C47EB">
            <w:pPr>
              <w:spacing w:before="100" w:beforeAutospacing="1" w:after="100" w:afterAutospacing="1"/>
              <w:jc w:val="left"/>
              <w:outlineLvl w:val="2"/>
              <w:rPr>
                <w:rStyle w:val="InstructionsTabelleberschrift"/>
                <w:rFonts w:ascii="Times New Roman" w:eastAsiaTheme="majorEastAsia" w:hAnsi="Times New Roman"/>
                <w:sz w:val="24"/>
              </w:rPr>
            </w:pPr>
            <w:r w:rsidRPr="00620EA6">
              <w:rPr>
                <w:rStyle w:val="InstructionsTabelleberschrift"/>
                <w:rFonts w:ascii="Times New Roman" w:eastAsiaTheme="majorEastAsia" w:hAnsi="Times New Roman"/>
                <w:sz w:val="24"/>
              </w:rPr>
              <w:t>Pending Losses</w:t>
            </w:r>
          </w:p>
          <w:p w14:paraId="1B89F356" w14:textId="77777777" w:rsidR="00E720F8" w:rsidRPr="00620EA6" w:rsidRDefault="00E720F8" w:rsidP="000C47EB">
            <w:pPr>
              <w:spacing w:before="100" w:beforeAutospacing="1" w:after="100" w:afterAutospacing="1"/>
              <w:jc w:val="left"/>
              <w:rPr>
                <w:rFonts w:ascii="Times New Roman" w:hAnsi="Times New Roman"/>
                <w:sz w:val="24"/>
                <w:lang w:eastAsia="en-GB"/>
              </w:rPr>
            </w:pPr>
            <w:r w:rsidRPr="00620EA6">
              <w:rPr>
                <w:rFonts w:ascii="Times New Roman" w:hAnsi="Times New Roman"/>
                <w:sz w:val="24"/>
                <w:lang w:eastAsia="en-GB"/>
              </w:rPr>
              <w:t xml:space="preserve">The </w:t>
            </w:r>
            <w:r w:rsidRPr="00620EA6">
              <w:rPr>
                <w:rFonts w:ascii="Times New Roman" w:hAnsi="Times New Roman"/>
                <w:i/>
                <w:iCs/>
                <w:sz w:val="24"/>
                <w:lang w:eastAsia="en-GB"/>
              </w:rPr>
              <w:t>Pending Losses</w:t>
            </w:r>
            <w:r w:rsidRPr="00620EA6">
              <w:rPr>
                <w:rFonts w:ascii="Times New Roman" w:hAnsi="Times New Roman"/>
                <w:sz w:val="24"/>
                <w:lang w:eastAsia="en-GB"/>
              </w:rPr>
              <w:t xml:space="preserve"> field indicates whether an operational risk event should be treated as a </w:t>
            </w:r>
            <w:r w:rsidRPr="00620EA6">
              <w:rPr>
                <w:rFonts w:ascii="Times New Roman" w:hAnsi="Times New Roman"/>
                <w:b/>
                <w:bCs/>
                <w:sz w:val="24"/>
                <w:lang w:eastAsia="en-GB"/>
              </w:rPr>
              <w:t>Pending Loss</w:t>
            </w:r>
            <w:r w:rsidRPr="00620EA6">
              <w:rPr>
                <w:rFonts w:ascii="Times New Roman" w:hAnsi="Times New Roman"/>
                <w:sz w:val="24"/>
                <w:lang w:eastAsia="en-GB"/>
              </w:rPr>
              <w:t>, as indicated in Art 318(2)(d) of Regulation (EU) No 575/2013.</w:t>
            </w:r>
          </w:p>
          <w:p w14:paraId="1648E8CF" w14:textId="70A194D7" w:rsidR="00E720F8" w:rsidRPr="00620EA6" w:rsidRDefault="00E720F8" w:rsidP="000C47EB">
            <w:pPr>
              <w:tabs>
                <w:tab w:val="num" w:pos="720"/>
              </w:tabs>
              <w:spacing w:before="100" w:beforeAutospacing="1" w:after="100" w:afterAutospacing="1"/>
              <w:jc w:val="left"/>
              <w:rPr>
                <w:rFonts w:ascii="Times New Roman" w:hAnsi="Times New Roman"/>
                <w:sz w:val="24"/>
                <w:lang w:eastAsia="en-GB"/>
              </w:rPr>
            </w:pPr>
            <w:r w:rsidRPr="00620EA6">
              <w:rPr>
                <w:rFonts w:ascii="Times New Roman" w:hAnsi="Times New Roman"/>
                <w:sz w:val="24"/>
                <w:lang w:eastAsia="en-GB"/>
              </w:rPr>
              <w:t xml:space="preserve">The field </w:t>
            </w:r>
            <w:r w:rsidR="00D65AAB" w:rsidRPr="00620EA6">
              <w:rPr>
                <w:rFonts w:ascii="Times New Roman" w:hAnsi="Times New Roman"/>
                <w:sz w:val="24"/>
                <w:lang w:eastAsia="en-GB"/>
              </w:rPr>
              <w:t>shall take one of the following values</w:t>
            </w:r>
            <w:r w:rsidRPr="00620EA6">
              <w:rPr>
                <w:rFonts w:ascii="Times New Roman" w:hAnsi="Times New Roman"/>
                <w:sz w:val="24"/>
                <w:lang w:eastAsia="en-GB"/>
              </w:rPr>
              <w:t xml:space="preserve">: </w:t>
            </w:r>
          </w:p>
          <w:p w14:paraId="06181A61" w14:textId="77777777" w:rsidR="00E720F8" w:rsidRPr="00620EA6" w:rsidRDefault="00E720F8" w:rsidP="00E720F8">
            <w:pPr>
              <w:pStyle w:val="ListParagraph"/>
              <w:numPr>
                <w:ilvl w:val="0"/>
                <w:numId w:val="41"/>
              </w:numPr>
              <w:spacing w:before="100" w:beforeAutospacing="1" w:after="100" w:afterAutospacing="1"/>
              <w:contextualSpacing/>
              <w:jc w:val="left"/>
              <w:rPr>
                <w:rFonts w:ascii="Times New Roman" w:hAnsi="Times New Roman"/>
                <w:sz w:val="24"/>
                <w:lang w:eastAsia="en-GB"/>
              </w:rPr>
            </w:pPr>
            <w:r w:rsidRPr="00620EA6">
              <w:rPr>
                <w:rFonts w:ascii="Times New Roman" w:hAnsi="Times New Roman"/>
                <w:b/>
                <w:bCs/>
                <w:sz w:val="24"/>
                <w:lang w:eastAsia="en-GB"/>
              </w:rPr>
              <w:t>Y (Yes)</w:t>
            </w:r>
            <w:r w:rsidRPr="00620EA6">
              <w:rPr>
                <w:rFonts w:ascii="Times New Roman" w:hAnsi="Times New Roman"/>
                <w:sz w:val="24"/>
                <w:lang w:eastAsia="en-GB"/>
              </w:rPr>
              <w:t xml:space="preserve"> – the event is a Pending Loss.</w:t>
            </w:r>
          </w:p>
          <w:p w14:paraId="65B8B229" w14:textId="77777777" w:rsidR="00E720F8" w:rsidRPr="00620EA6" w:rsidRDefault="00E720F8" w:rsidP="00E720F8">
            <w:pPr>
              <w:pStyle w:val="ListParagraph"/>
              <w:numPr>
                <w:ilvl w:val="0"/>
                <w:numId w:val="41"/>
              </w:numPr>
              <w:spacing w:before="100" w:beforeAutospacing="1" w:after="100" w:afterAutospacing="1"/>
              <w:contextualSpacing/>
              <w:jc w:val="left"/>
              <w:rPr>
                <w:rFonts w:ascii="Times New Roman" w:hAnsi="Times New Roman"/>
                <w:sz w:val="24"/>
                <w:lang w:eastAsia="en-GB"/>
              </w:rPr>
            </w:pPr>
            <w:r w:rsidRPr="00620EA6">
              <w:rPr>
                <w:rFonts w:ascii="Times New Roman" w:hAnsi="Times New Roman"/>
                <w:b/>
                <w:bCs/>
                <w:sz w:val="24"/>
                <w:lang w:eastAsia="en-GB"/>
              </w:rPr>
              <w:t>N (No)</w:t>
            </w:r>
            <w:r w:rsidRPr="00620EA6">
              <w:rPr>
                <w:rFonts w:ascii="Times New Roman" w:hAnsi="Times New Roman"/>
                <w:sz w:val="24"/>
                <w:lang w:eastAsia="en-GB"/>
              </w:rPr>
              <w:t xml:space="preserve"> – the event is </w:t>
            </w:r>
            <w:r w:rsidRPr="00620EA6">
              <w:rPr>
                <w:rFonts w:ascii="Times New Roman" w:hAnsi="Times New Roman"/>
                <w:b/>
                <w:bCs/>
                <w:sz w:val="24"/>
                <w:lang w:eastAsia="en-GB"/>
              </w:rPr>
              <w:t>not</w:t>
            </w:r>
            <w:r w:rsidRPr="00620EA6">
              <w:rPr>
                <w:rFonts w:ascii="Times New Roman" w:hAnsi="Times New Roman"/>
                <w:sz w:val="24"/>
                <w:lang w:eastAsia="en-GB"/>
              </w:rPr>
              <w:t xml:space="preserve"> a Pending Loss.</w:t>
            </w:r>
          </w:p>
          <w:p w14:paraId="7997AE33" w14:textId="77777777" w:rsidR="00E720F8" w:rsidRPr="00620EA6" w:rsidRDefault="00E720F8" w:rsidP="000C47EB">
            <w:pPr>
              <w:spacing w:before="100" w:beforeAutospacing="1" w:after="100" w:afterAutospacing="1"/>
              <w:jc w:val="left"/>
              <w:rPr>
                <w:rFonts w:ascii="Times New Roman" w:hAnsi="Times New Roman"/>
                <w:sz w:val="24"/>
                <w:lang w:eastAsia="en-GB"/>
              </w:rPr>
            </w:pPr>
            <w:r w:rsidRPr="00620EA6">
              <w:rPr>
                <w:rFonts w:ascii="Times New Roman" w:hAnsi="Times New Roman"/>
                <w:sz w:val="24"/>
                <w:lang w:eastAsia="en-GB"/>
              </w:rPr>
              <w:t xml:space="preserve">The </w:t>
            </w:r>
            <w:r w:rsidRPr="00620EA6">
              <w:rPr>
                <w:rFonts w:ascii="Times New Roman" w:hAnsi="Times New Roman"/>
                <w:i/>
                <w:iCs/>
                <w:sz w:val="24"/>
                <w:lang w:eastAsia="en-GB"/>
              </w:rPr>
              <w:t>Pending Losses</w:t>
            </w:r>
            <w:r w:rsidRPr="00620EA6">
              <w:rPr>
                <w:rFonts w:ascii="Times New Roman" w:hAnsi="Times New Roman"/>
                <w:sz w:val="24"/>
                <w:lang w:eastAsia="en-GB"/>
              </w:rPr>
              <w:t xml:space="preserve"> flag applies to </w:t>
            </w:r>
            <w:r w:rsidRPr="00620EA6">
              <w:rPr>
                <w:rFonts w:ascii="Times New Roman" w:hAnsi="Times New Roman"/>
                <w:b/>
                <w:bCs/>
                <w:sz w:val="24"/>
                <w:lang w:eastAsia="en-GB"/>
              </w:rPr>
              <w:t>all operational risk events reported</w:t>
            </w:r>
            <w:r w:rsidRPr="00620EA6">
              <w:rPr>
                <w:rFonts w:ascii="Times New Roman" w:hAnsi="Times New Roman"/>
                <w:sz w:val="24"/>
                <w:lang w:eastAsia="en-GB"/>
              </w:rPr>
              <w:t>.</w:t>
            </w:r>
          </w:p>
          <w:p w14:paraId="4B02DC87" w14:textId="77777777" w:rsidR="00E720F8" w:rsidRPr="00620EA6" w:rsidRDefault="00E720F8" w:rsidP="000C47EB">
            <w:pPr>
              <w:spacing w:before="100" w:beforeAutospacing="1" w:after="100" w:afterAutospacing="1"/>
              <w:jc w:val="left"/>
              <w:rPr>
                <w:rFonts w:ascii="Times New Roman" w:hAnsi="Times New Roman"/>
                <w:sz w:val="24"/>
                <w:lang w:eastAsia="en-GB"/>
              </w:rPr>
            </w:pPr>
            <w:r w:rsidRPr="00620EA6">
              <w:rPr>
                <w:rFonts w:ascii="Times New Roman" w:hAnsi="Times New Roman"/>
                <w:sz w:val="24"/>
                <w:lang w:eastAsia="en-GB"/>
              </w:rPr>
              <w:t xml:space="preserve">If an event is flagged as Pending Loss </w:t>
            </w:r>
            <w:r w:rsidRPr="00620EA6">
              <w:rPr>
                <w:rFonts w:ascii="Times New Roman" w:hAnsi="Times New Roman"/>
                <w:b/>
                <w:bCs/>
                <w:sz w:val="24"/>
                <w:lang w:eastAsia="en-GB"/>
              </w:rPr>
              <w:t>(Y)</w:t>
            </w:r>
            <w:r w:rsidRPr="00620EA6">
              <w:rPr>
                <w:rFonts w:ascii="Times New Roman" w:hAnsi="Times New Roman"/>
                <w:sz w:val="24"/>
                <w:lang w:eastAsia="en-GB"/>
              </w:rPr>
              <w:t>:</w:t>
            </w:r>
          </w:p>
          <w:p w14:paraId="47D30694" w14:textId="77777777" w:rsidR="00E720F8" w:rsidRPr="00620EA6" w:rsidRDefault="00E720F8" w:rsidP="00E720F8">
            <w:pPr>
              <w:pStyle w:val="ListParagraph"/>
              <w:numPr>
                <w:ilvl w:val="0"/>
                <w:numId w:val="40"/>
              </w:numPr>
              <w:spacing w:before="100" w:beforeAutospacing="1" w:after="100" w:afterAutospacing="1"/>
              <w:contextualSpacing/>
              <w:jc w:val="left"/>
              <w:rPr>
                <w:rFonts w:ascii="Times New Roman" w:hAnsi="Times New Roman"/>
                <w:sz w:val="24"/>
                <w:lang w:eastAsia="en-GB"/>
              </w:rPr>
            </w:pPr>
            <w:r w:rsidRPr="00620EA6">
              <w:rPr>
                <w:rFonts w:ascii="Times New Roman" w:hAnsi="Times New Roman"/>
                <w:sz w:val="24"/>
                <w:lang w:eastAsia="en-GB"/>
              </w:rPr>
              <w:t xml:space="preserve">The </w:t>
            </w:r>
            <w:r w:rsidRPr="00620EA6">
              <w:rPr>
                <w:rFonts w:ascii="Times New Roman" w:hAnsi="Times New Roman"/>
                <w:i/>
                <w:iCs/>
                <w:sz w:val="24"/>
                <w:lang w:eastAsia="en-GB"/>
              </w:rPr>
              <w:t>Event Status</w:t>
            </w:r>
            <w:r w:rsidRPr="00620EA6">
              <w:rPr>
                <w:rFonts w:ascii="Times New Roman" w:hAnsi="Times New Roman"/>
                <w:sz w:val="24"/>
                <w:lang w:eastAsia="en-GB"/>
              </w:rPr>
              <w:t xml:space="preserve"> must be </w:t>
            </w:r>
            <w:r w:rsidRPr="00620EA6">
              <w:rPr>
                <w:rFonts w:ascii="Times New Roman" w:hAnsi="Times New Roman"/>
                <w:b/>
                <w:bCs/>
                <w:sz w:val="24"/>
                <w:lang w:eastAsia="en-GB"/>
              </w:rPr>
              <w:t>Open (OP)</w:t>
            </w:r>
            <w:r w:rsidRPr="00620EA6">
              <w:rPr>
                <w:rFonts w:ascii="Times New Roman" w:hAnsi="Times New Roman"/>
                <w:sz w:val="24"/>
                <w:lang w:eastAsia="en-GB"/>
              </w:rPr>
              <w:t>.</w:t>
            </w:r>
          </w:p>
          <w:p w14:paraId="05B025F3" w14:textId="77777777" w:rsidR="00E720F8" w:rsidRPr="00620EA6" w:rsidRDefault="00E720F8" w:rsidP="00E720F8">
            <w:pPr>
              <w:pStyle w:val="ListParagraph"/>
              <w:numPr>
                <w:ilvl w:val="0"/>
                <w:numId w:val="40"/>
              </w:numPr>
              <w:spacing w:before="100" w:beforeAutospacing="1" w:after="100" w:afterAutospacing="1"/>
              <w:contextualSpacing/>
              <w:jc w:val="left"/>
              <w:rPr>
                <w:rStyle w:val="InstructionsTabelleberschrift"/>
                <w:rFonts w:ascii="Times New Roman" w:hAnsi="Times New Roman"/>
                <w:b w:val="0"/>
                <w:bCs w:val="0"/>
                <w:sz w:val="24"/>
                <w:lang w:eastAsia="en-GB"/>
              </w:rPr>
            </w:pPr>
            <w:r w:rsidRPr="00620EA6">
              <w:rPr>
                <w:rFonts w:ascii="Times New Roman" w:hAnsi="Times New Roman"/>
                <w:sz w:val="24"/>
                <w:lang w:eastAsia="en-GB"/>
              </w:rPr>
              <w:t xml:space="preserve">It </w:t>
            </w:r>
            <w:r w:rsidRPr="00620EA6">
              <w:rPr>
                <w:rFonts w:ascii="Times New Roman" w:hAnsi="Times New Roman"/>
                <w:b/>
                <w:bCs/>
                <w:sz w:val="24"/>
                <w:lang w:eastAsia="en-GB"/>
              </w:rPr>
              <w:t>cannot</w:t>
            </w:r>
            <w:r w:rsidRPr="00620EA6">
              <w:rPr>
                <w:rFonts w:ascii="Times New Roman" w:hAnsi="Times New Roman"/>
                <w:sz w:val="24"/>
                <w:lang w:eastAsia="en-GB"/>
              </w:rPr>
              <w:t xml:space="preserve"> be reported as Closed (CL).</w:t>
            </w:r>
          </w:p>
        </w:tc>
      </w:tr>
      <w:tr w:rsidR="00E720F8" w:rsidRPr="00620EA6" w14:paraId="37B8CA0E" w14:textId="77777777" w:rsidTr="00E132C3">
        <w:tc>
          <w:tcPr>
            <w:tcW w:w="1511" w:type="dxa"/>
          </w:tcPr>
          <w:p w14:paraId="62EA9F6C" w14:textId="77777777" w:rsidR="00E720F8" w:rsidRPr="00620EA6" w:rsidRDefault="00E720F8" w:rsidP="000C47EB">
            <w:pPr>
              <w:rPr>
                <w:rFonts w:ascii="Times New Roman" w:hAnsi="Times New Roman"/>
                <w:sz w:val="24"/>
                <w:lang w:eastAsia="de-DE"/>
              </w:rPr>
            </w:pPr>
            <w:r w:rsidRPr="00620EA6">
              <w:rPr>
                <w:rFonts w:ascii="Times New Roman" w:hAnsi="Times New Roman"/>
                <w:sz w:val="24"/>
                <w:lang w:eastAsia="de-DE"/>
              </w:rPr>
              <w:t>0070</w:t>
            </w:r>
          </w:p>
        </w:tc>
        <w:tc>
          <w:tcPr>
            <w:tcW w:w="7551" w:type="dxa"/>
          </w:tcPr>
          <w:p w14:paraId="5DF2E53F" w14:textId="77777777" w:rsidR="00E720F8" w:rsidRPr="00620EA6" w:rsidRDefault="00E720F8" w:rsidP="000C47EB">
            <w:pPr>
              <w:rPr>
                <w:rStyle w:val="InstructionsTabelleberschrift"/>
                <w:rFonts w:ascii="Times New Roman" w:hAnsi="Times New Roman"/>
                <w:sz w:val="24"/>
              </w:rPr>
            </w:pPr>
            <w:r w:rsidRPr="00620EA6">
              <w:rPr>
                <w:rStyle w:val="InstructionsTabelleberschrift"/>
                <w:rFonts w:ascii="Times New Roman" w:hAnsi="Times New Roman"/>
                <w:sz w:val="24"/>
              </w:rPr>
              <w:t>Date of occurrence</w:t>
            </w:r>
          </w:p>
          <w:p w14:paraId="4A519B1F" w14:textId="77777777" w:rsidR="00E720F8" w:rsidRPr="00620EA6" w:rsidRDefault="00E720F8" w:rsidP="000C47EB">
            <w:pPr>
              <w:rPr>
                <w:rFonts w:ascii="Times New Roman" w:hAnsi="Times New Roman"/>
                <w:sz w:val="24"/>
                <w:lang w:eastAsia="de-DE"/>
              </w:rPr>
            </w:pPr>
            <w:r w:rsidRPr="00620EA6">
              <w:rPr>
                <w:rFonts w:ascii="Times New Roman" w:hAnsi="Times New Roman"/>
                <w:sz w:val="24"/>
                <w:lang w:eastAsia="de-DE"/>
              </w:rPr>
              <w:t xml:space="preserve">Date of occurrence is the date indicated in Art 317(4)(a)(i) of Regulation (EU) No 575/2013. </w:t>
            </w:r>
          </w:p>
        </w:tc>
      </w:tr>
      <w:tr w:rsidR="00E720F8" w:rsidRPr="00620EA6" w14:paraId="537399FF" w14:textId="77777777" w:rsidTr="00E132C3">
        <w:tc>
          <w:tcPr>
            <w:tcW w:w="1511" w:type="dxa"/>
          </w:tcPr>
          <w:p w14:paraId="472C541A" w14:textId="77777777" w:rsidR="00E720F8" w:rsidRPr="00620EA6" w:rsidRDefault="00E720F8" w:rsidP="000C47EB">
            <w:pPr>
              <w:rPr>
                <w:rFonts w:ascii="Times New Roman" w:hAnsi="Times New Roman"/>
                <w:sz w:val="24"/>
                <w:lang w:eastAsia="de-DE"/>
              </w:rPr>
            </w:pPr>
            <w:r w:rsidRPr="00620EA6">
              <w:rPr>
                <w:rFonts w:ascii="Times New Roman" w:hAnsi="Times New Roman"/>
                <w:sz w:val="24"/>
                <w:lang w:eastAsia="de-DE"/>
              </w:rPr>
              <w:t>0080</w:t>
            </w:r>
          </w:p>
        </w:tc>
        <w:tc>
          <w:tcPr>
            <w:tcW w:w="7551" w:type="dxa"/>
          </w:tcPr>
          <w:p w14:paraId="0AA33B32" w14:textId="77777777" w:rsidR="00E720F8" w:rsidRPr="00620EA6" w:rsidRDefault="00E720F8" w:rsidP="000C47EB">
            <w:pPr>
              <w:rPr>
                <w:rStyle w:val="InstructionsTabelleberschrift"/>
                <w:rFonts w:ascii="Times New Roman" w:hAnsi="Times New Roman"/>
                <w:sz w:val="24"/>
              </w:rPr>
            </w:pPr>
            <w:r w:rsidRPr="00620EA6">
              <w:rPr>
                <w:rStyle w:val="InstructionsTabelleberschrift"/>
                <w:rFonts w:ascii="Times New Roman" w:hAnsi="Times New Roman"/>
                <w:sz w:val="24"/>
              </w:rPr>
              <w:t>Date of discovery</w:t>
            </w:r>
          </w:p>
          <w:p w14:paraId="3322A729" w14:textId="77777777" w:rsidR="00E720F8" w:rsidRPr="00620EA6" w:rsidRDefault="00E720F8" w:rsidP="000C47EB">
            <w:pPr>
              <w:rPr>
                <w:rFonts w:ascii="Times New Roman" w:hAnsi="Times New Roman"/>
                <w:sz w:val="24"/>
                <w:lang w:eastAsia="de-DE"/>
              </w:rPr>
            </w:pPr>
            <w:r w:rsidRPr="00620EA6">
              <w:rPr>
                <w:rFonts w:ascii="Times New Roman" w:hAnsi="Times New Roman"/>
                <w:sz w:val="24"/>
                <w:lang w:eastAsia="de-DE"/>
              </w:rPr>
              <w:t>Date of discovery is the date indicated in Art 317(4)(a)(ii) of Regulation (EU) No 575/2013.</w:t>
            </w:r>
          </w:p>
        </w:tc>
      </w:tr>
      <w:tr w:rsidR="00E720F8" w:rsidRPr="00620EA6" w14:paraId="109BD9B2" w14:textId="77777777" w:rsidTr="00E132C3">
        <w:tc>
          <w:tcPr>
            <w:tcW w:w="1511" w:type="dxa"/>
          </w:tcPr>
          <w:p w14:paraId="14E7BE21" w14:textId="77777777" w:rsidR="00E720F8" w:rsidRPr="00620EA6" w:rsidRDefault="00E720F8" w:rsidP="000C47EB">
            <w:pPr>
              <w:rPr>
                <w:rFonts w:ascii="Times New Roman" w:hAnsi="Times New Roman"/>
                <w:sz w:val="24"/>
                <w:lang w:eastAsia="de-DE"/>
              </w:rPr>
            </w:pPr>
            <w:r w:rsidRPr="00620EA6">
              <w:rPr>
                <w:rFonts w:ascii="Times New Roman" w:hAnsi="Times New Roman"/>
                <w:sz w:val="24"/>
                <w:lang w:eastAsia="de-DE"/>
              </w:rPr>
              <w:t>0090</w:t>
            </w:r>
          </w:p>
        </w:tc>
        <w:tc>
          <w:tcPr>
            <w:tcW w:w="7551" w:type="dxa"/>
          </w:tcPr>
          <w:p w14:paraId="1975C072" w14:textId="77777777" w:rsidR="00E720F8" w:rsidRPr="00620EA6" w:rsidRDefault="00E720F8" w:rsidP="000C47EB">
            <w:pPr>
              <w:rPr>
                <w:rStyle w:val="InstructionsTabelleberschrift"/>
                <w:rFonts w:ascii="Times New Roman" w:hAnsi="Times New Roman"/>
                <w:sz w:val="24"/>
              </w:rPr>
            </w:pPr>
            <w:r w:rsidRPr="00620EA6">
              <w:rPr>
                <w:rStyle w:val="InstructionsTabelleberschrift"/>
                <w:rFonts w:ascii="Times New Roman" w:hAnsi="Times New Roman"/>
                <w:sz w:val="24"/>
              </w:rPr>
              <w:t>Date of Accounting</w:t>
            </w:r>
          </w:p>
          <w:p w14:paraId="5564A1B1" w14:textId="77777777" w:rsidR="00E720F8" w:rsidRPr="00620EA6" w:rsidRDefault="00E720F8" w:rsidP="000C47EB">
            <w:pPr>
              <w:rPr>
                <w:rStyle w:val="InstructionsTabelleberschrift"/>
                <w:rFonts w:ascii="Times New Roman" w:hAnsi="Times New Roman"/>
                <w:sz w:val="24"/>
              </w:rPr>
            </w:pPr>
            <w:r w:rsidRPr="00620EA6">
              <w:rPr>
                <w:rFonts w:ascii="Times New Roman" w:hAnsi="Times New Roman"/>
                <w:sz w:val="24"/>
                <w:lang w:eastAsia="de-DE"/>
              </w:rPr>
              <w:t>Date of accounting is the date indicated in Art 317(4)(a)(iii) of Regulation (EU) No 575/2013.</w:t>
            </w:r>
          </w:p>
        </w:tc>
      </w:tr>
      <w:tr w:rsidR="00E720F8" w:rsidRPr="00620EA6" w14:paraId="4B26A21D" w14:textId="77777777" w:rsidTr="00E132C3">
        <w:tc>
          <w:tcPr>
            <w:tcW w:w="1511" w:type="dxa"/>
          </w:tcPr>
          <w:p w14:paraId="45FB45B3" w14:textId="77777777" w:rsidR="00E720F8" w:rsidRPr="00620EA6" w:rsidRDefault="00E720F8" w:rsidP="000C47EB">
            <w:pPr>
              <w:rPr>
                <w:rFonts w:ascii="Times New Roman" w:hAnsi="Times New Roman"/>
                <w:sz w:val="24"/>
                <w:lang w:eastAsia="de-DE"/>
              </w:rPr>
            </w:pPr>
            <w:r w:rsidRPr="00620EA6">
              <w:rPr>
                <w:rFonts w:ascii="Times New Roman" w:hAnsi="Times New Roman"/>
                <w:sz w:val="24"/>
                <w:lang w:eastAsia="de-DE"/>
              </w:rPr>
              <w:t>0100</w:t>
            </w:r>
          </w:p>
        </w:tc>
        <w:tc>
          <w:tcPr>
            <w:tcW w:w="7551" w:type="dxa"/>
          </w:tcPr>
          <w:p w14:paraId="53ADBB2B" w14:textId="77777777" w:rsidR="00E720F8" w:rsidRPr="00620EA6" w:rsidRDefault="00E720F8" w:rsidP="000C47EB">
            <w:pPr>
              <w:rPr>
                <w:rStyle w:val="InstructionsTabelleberschrift"/>
                <w:rFonts w:ascii="Times New Roman" w:hAnsi="Times New Roman"/>
                <w:sz w:val="24"/>
              </w:rPr>
            </w:pPr>
            <w:r w:rsidRPr="00620EA6">
              <w:rPr>
                <w:rStyle w:val="InstructionsTabelleberschrift"/>
                <w:rFonts w:ascii="Times New Roman" w:hAnsi="Times New Roman"/>
                <w:sz w:val="24"/>
              </w:rPr>
              <w:t>Level 1 event type</w:t>
            </w:r>
          </w:p>
          <w:p w14:paraId="4AF243FA" w14:textId="77777777" w:rsidR="00E720F8" w:rsidRPr="00620EA6" w:rsidRDefault="00E720F8" w:rsidP="000C47EB">
            <w:pPr>
              <w:rPr>
                <w:rFonts w:ascii="Times New Roman" w:hAnsi="Times New Roman"/>
                <w:sz w:val="24"/>
                <w:lang w:eastAsia="de-DE"/>
              </w:rPr>
            </w:pPr>
            <w:r w:rsidRPr="00620EA6">
              <w:rPr>
                <w:rFonts w:ascii="Times New Roman" w:hAnsi="Times New Roman"/>
                <w:sz w:val="24"/>
                <w:lang w:eastAsia="de-DE"/>
              </w:rPr>
              <w:t>Loss event types as</w:t>
            </w:r>
            <w:r w:rsidRPr="00620EA6">
              <w:t xml:space="preserve"> </w:t>
            </w:r>
            <w:r w:rsidRPr="00620EA6">
              <w:rPr>
                <w:rFonts w:ascii="Times New Roman" w:hAnsi="Times New Roman"/>
                <w:sz w:val="24"/>
              </w:rPr>
              <w:t>defined in Article 2 of [</w:t>
            </w:r>
            <w:r w:rsidRPr="00620EA6">
              <w:rPr>
                <w:rFonts w:ascii="Times New Roman" w:hAnsi="Times New Roman"/>
                <w:sz w:val="24"/>
                <w:highlight w:val="yellow"/>
              </w:rPr>
              <w:t>draft RTS of Article 317(9) of Regulation (EU) No 575/2013 submitted to the Commission</w:t>
            </w:r>
            <w:r w:rsidRPr="00620EA6">
              <w:rPr>
                <w:rFonts w:ascii="Times New Roman" w:hAnsi="Times New Roman"/>
                <w:sz w:val="24"/>
              </w:rPr>
              <w:t>]</w:t>
            </w:r>
            <w:r w:rsidRPr="00620EA6">
              <w:rPr>
                <w:rFonts w:ascii="Times New Roman" w:hAnsi="Times New Roman"/>
                <w:sz w:val="24"/>
                <w:lang w:eastAsia="de-DE"/>
              </w:rPr>
              <w:t xml:space="preserve"> </w:t>
            </w:r>
          </w:p>
        </w:tc>
      </w:tr>
      <w:tr w:rsidR="00E720F8" w:rsidRPr="00620EA6" w14:paraId="3F79ED5D" w14:textId="77777777" w:rsidTr="00E132C3">
        <w:tc>
          <w:tcPr>
            <w:tcW w:w="1511" w:type="dxa"/>
          </w:tcPr>
          <w:p w14:paraId="242619A3" w14:textId="77777777" w:rsidR="00E720F8" w:rsidRPr="00620EA6" w:rsidRDefault="00E720F8" w:rsidP="000C47EB">
            <w:pPr>
              <w:rPr>
                <w:rFonts w:ascii="Times New Roman" w:hAnsi="Times New Roman"/>
                <w:sz w:val="24"/>
                <w:lang w:eastAsia="de-DE"/>
              </w:rPr>
            </w:pPr>
            <w:r w:rsidRPr="00620EA6">
              <w:rPr>
                <w:rFonts w:ascii="Times New Roman" w:hAnsi="Times New Roman"/>
                <w:sz w:val="24"/>
                <w:lang w:eastAsia="de-DE"/>
              </w:rPr>
              <w:lastRenderedPageBreak/>
              <w:t>0110</w:t>
            </w:r>
          </w:p>
        </w:tc>
        <w:tc>
          <w:tcPr>
            <w:tcW w:w="7551" w:type="dxa"/>
          </w:tcPr>
          <w:p w14:paraId="64B259A7" w14:textId="77777777" w:rsidR="00E720F8" w:rsidRPr="00620EA6" w:rsidRDefault="00E720F8" w:rsidP="000C47EB">
            <w:pPr>
              <w:rPr>
                <w:rStyle w:val="InstructionsTabelleberschrift"/>
                <w:rFonts w:ascii="Times New Roman" w:hAnsi="Times New Roman"/>
                <w:sz w:val="24"/>
              </w:rPr>
            </w:pPr>
            <w:r w:rsidRPr="00620EA6">
              <w:rPr>
                <w:rStyle w:val="InstructionsTabelleberschrift"/>
                <w:rFonts w:ascii="Times New Roman" w:hAnsi="Times New Roman"/>
                <w:sz w:val="24"/>
              </w:rPr>
              <w:t>Level 2 category</w:t>
            </w:r>
          </w:p>
          <w:p w14:paraId="29265AE6" w14:textId="72EE49EB" w:rsidR="00E720F8" w:rsidRPr="00620EA6" w:rsidDel="00FE6B3D" w:rsidRDefault="00E720F8" w:rsidP="000C47EB">
            <w:pPr>
              <w:rPr>
                <w:rStyle w:val="InstructionsTabelleberschrift"/>
                <w:rFonts w:ascii="Times New Roman" w:hAnsi="Times New Roman"/>
                <w:sz w:val="24"/>
              </w:rPr>
            </w:pPr>
            <w:r w:rsidRPr="00620EA6">
              <w:rPr>
                <w:rFonts w:ascii="Times New Roman" w:hAnsi="Times New Roman"/>
                <w:sz w:val="24"/>
                <w:lang w:eastAsia="de-DE"/>
              </w:rPr>
              <w:t xml:space="preserve">Loss event </w:t>
            </w:r>
            <w:r w:rsidR="00D21479" w:rsidRPr="00620EA6">
              <w:rPr>
                <w:rFonts w:ascii="Times New Roman" w:hAnsi="Times New Roman"/>
                <w:sz w:val="24"/>
                <w:lang w:eastAsia="de-DE"/>
              </w:rPr>
              <w:t xml:space="preserve">categories </w:t>
            </w:r>
            <w:r w:rsidRPr="00620EA6">
              <w:rPr>
                <w:rFonts w:ascii="Times New Roman" w:hAnsi="Times New Roman"/>
                <w:sz w:val="24"/>
              </w:rPr>
              <w:t>as defined in Articles 3 – 9 of [</w:t>
            </w:r>
            <w:r w:rsidRPr="00620EA6">
              <w:rPr>
                <w:rFonts w:ascii="Times New Roman" w:hAnsi="Times New Roman"/>
                <w:sz w:val="24"/>
                <w:highlight w:val="yellow"/>
              </w:rPr>
              <w:t>draft RTS of Article 317(9) of Regulation (EU) No 575/2013 submitted to the Commission</w:t>
            </w:r>
            <w:r w:rsidRPr="00620EA6">
              <w:rPr>
                <w:rFonts w:ascii="Times New Roman" w:hAnsi="Times New Roman"/>
                <w:sz w:val="24"/>
              </w:rPr>
              <w:t>]</w:t>
            </w:r>
          </w:p>
        </w:tc>
      </w:tr>
      <w:tr w:rsidR="00E720F8" w:rsidRPr="00620EA6" w14:paraId="04B760AD" w14:textId="77777777" w:rsidTr="00E132C3">
        <w:tc>
          <w:tcPr>
            <w:tcW w:w="1511" w:type="dxa"/>
          </w:tcPr>
          <w:p w14:paraId="4393F163" w14:textId="77777777" w:rsidR="00E720F8" w:rsidRPr="00620EA6" w:rsidRDefault="00E720F8" w:rsidP="000C47EB">
            <w:pPr>
              <w:rPr>
                <w:rFonts w:ascii="Times New Roman" w:hAnsi="Times New Roman"/>
                <w:sz w:val="24"/>
                <w:lang w:eastAsia="de-DE"/>
              </w:rPr>
            </w:pPr>
            <w:r w:rsidRPr="00620EA6">
              <w:rPr>
                <w:rFonts w:ascii="Times New Roman" w:hAnsi="Times New Roman"/>
                <w:sz w:val="24"/>
                <w:lang w:eastAsia="de-DE"/>
              </w:rPr>
              <w:t>0120</w:t>
            </w:r>
          </w:p>
        </w:tc>
        <w:tc>
          <w:tcPr>
            <w:tcW w:w="7551" w:type="dxa"/>
          </w:tcPr>
          <w:p w14:paraId="1DA02C52" w14:textId="77777777" w:rsidR="00E720F8" w:rsidRPr="00620EA6" w:rsidRDefault="00E720F8" w:rsidP="000C47EB">
            <w:pPr>
              <w:rPr>
                <w:rStyle w:val="InstructionsTabelleberschrift"/>
                <w:rFonts w:ascii="Times New Roman" w:hAnsi="Times New Roman"/>
                <w:sz w:val="24"/>
              </w:rPr>
            </w:pPr>
            <w:r w:rsidRPr="00620EA6">
              <w:rPr>
                <w:rStyle w:val="InstructionsTabelleberschrift"/>
                <w:rFonts w:ascii="Times New Roman" w:hAnsi="Times New Roman"/>
                <w:sz w:val="24"/>
              </w:rPr>
              <w:t xml:space="preserve">Gross loss </w:t>
            </w:r>
          </w:p>
          <w:p w14:paraId="1E560BB1" w14:textId="3A96B036" w:rsidR="00E720F8" w:rsidRPr="00620EA6" w:rsidRDefault="00E720F8" w:rsidP="000C47EB">
            <w:pPr>
              <w:rPr>
                <w:rFonts w:ascii="Times New Roman" w:hAnsi="Times New Roman"/>
                <w:sz w:val="24"/>
                <w:lang w:eastAsia="de-DE"/>
              </w:rPr>
            </w:pPr>
            <w:r w:rsidRPr="00620EA6">
              <w:rPr>
                <w:rFonts w:ascii="Times New Roman" w:hAnsi="Times New Roman"/>
                <w:sz w:val="24"/>
                <w:lang w:eastAsia="de-DE"/>
              </w:rPr>
              <w:t>Gross loss, as indicated in Art</w:t>
            </w:r>
            <w:r w:rsidR="00D65AAB" w:rsidRPr="00620EA6">
              <w:rPr>
                <w:rFonts w:ascii="Times New Roman" w:hAnsi="Times New Roman"/>
                <w:sz w:val="24"/>
                <w:lang w:eastAsia="de-DE"/>
              </w:rPr>
              <w:t>icles 317 and</w:t>
            </w:r>
            <w:r w:rsidRPr="00620EA6">
              <w:rPr>
                <w:rFonts w:ascii="Times New Roman" w:hAnsi="Times New Roman"/>
                <w:sz w:val="24"/>
                <w:lang w:eastAsia="de-DE"/>
              </w:rPr>
              <w:t xml:space="preserve"> 318 of Regulation (EU) No 575/2013, related to the event reported in </w:t>
            </w:r>
            <w:r w:rsidR="007D4E75" w:rsidRPr="00620EA6">
              <w:rPr>
                <w:rFonts w:ascii="Times New Roman" w:hAnsi="Times New Roman"/>
                <w:sz w:val="24"/>
                <w:lang w:eastAsia="de-DE"/>
              </w:rPr>
              <w:t xml:space="preserve">column </w:t>
            </w:r>
            <w:r w:rsidRPr="00620EA6">
              <w:rPr>
                <w:rFonts w:ascii="Times New Roman" w:hAnsi="Times New Roman"/>
                <w:sz w:val="24"/>
                <w:lang w:eastAsia="de-DE"/>
              </w:rPr>
              <w:t>0010</w:t>
            </w:r>
          </w:p>
          <w:p w14:paraId="24D118F6" w14:textId="40658A3C" w:rsidR="00D21479" w:rsidRPr="00620EA6" w:rsidRDefault="00D21479" w:rsidP="000C47EB">
            <w:pPr>
              <w:rPr>
                <w:rFonts w:ascii="Times New Roman" w:hAnsi="Times New Roman"/>
                <w:sz w:val="24"/>
                <w:lang w:eastAsia="de-DE"/>
              </w:rPr>
            </w:pPr>
            <w:r w:rsidRPr="00620EA6">
              <w:rPr>
                <w:rFonts w:ascii="Times New Roman" w:hAnsi="Times New Roman"/>
                <w:sz w:val="24"/>
                <w:lang w:eastAsia="de-DE"/>
              </w:rPr>
              <w:t>Loss figures should always be reported with a positive sign.</w:t>
            </w:r>
          </w:p>
        </w:tc>
      </w:tr>
      <w:tr w:rsidR="00E720F8" w:rsidRPr="00620EA6" w14:paraId="3B113662" w14:textId="77777777" w:rsidTr="00E132C3">
        <w:tc>
          <w:tcPr>
            <w:tcW w:w="1511" w:type="dxa"/>
          </w:tcPr>
          <w:p w14:paraId="0A046F05" w14:textId="77777777" w:rsidR="00E720F8" w:rsidRPr="00620EA6" w:rsidRDefault="00E720F8" w:rsidP="000C47EB">
            <w:pPr>
              <w:rPr>
                <w:rFonts w:ascii="Times New Roman" w:hAnsi="Times New Roman"/>
                <w:sz w:val="24"/>
                <w:lang w:eastAsia="de-DE"/>
              </w:rPr>
            </w:pPr>
            <w:r w:rsidRPr="00620EA6">
              <w:rPr>
                <w:rFonts w:ascii="Times New Roman" w:hAnsi="Times New Roman"/>
                <w:sz w:val="24"/>
                <w:lang w:eastAsia="de-DE"/>
              </w:rPr>
              <w:t>0130</w:t>
            </w:r>
          </w:p>
        </w:tc>
        <w:tc>
          <w:tcPr>
            <w:tcW w:w="7551" w:type="dxa"/>
          </w:tcPr>
          <w:p w14:paraId="6723BFB2" w14:textId="77777777" w:rsidR="00E720F8" w:rsidRPr="00620EA6" w:rsidRDefault="00E720F8" w:rsidP="000C47EB">
            <w:pPr>
              <w:rPr>
                <w:rStyle w:val="InstructionsTabelleberschrift"/>
                <w:rFonts w:ascii="Times New Roman" w:hAnsi="Times New Roman"/>
                <w:sz w:val="24"/>
              </w:rPr>
            </w:pPr>
            <w:r w:rsidRPr="00620EA6">
              <w:rPr>
                <w:rStyle w:val="InstructionsTabelleberschrift"/>
                <w:rFonts w:ascii="Times New Roman" w:hAnsi="Times New Roman"/>
                <w:sz w:val="24"/>
              </w:rPr>
              <w:t>Direct recoveries</w:t>
            </w:r>
          </w:p>
          <w:p w14:paraId="484DA57F" w14:textId="41F2DA90" w:rsidR="00E720F8" w:rsidRPr="00620EA6" w:rsidRDefault="00E720F8" w:rsidP="000C47EB">
            <w:pPr>
              <w:rPr>
                <w:rFonts w:ascii="Times New Roman" w:hAnsi="Times New Roman"/>
                <w:sz w:val="24"/>
                <w:lang w:eastAsia="de-DE"/>
              </w:rPr>
            </w:pPr>
            <w:r w:rsidRPr="00620EA6">
              <w:rPr>
                <w:rFonts w:ascii="Times New Roman" w:hAnsi="Times New Roman"/>
                <w:sz w:val="24"/>
                <w:lang w:eastAsia="de-DE"/>
              </w:rPr>
              <w:t xml:space="preserve">Other than insurance Recoveries, as indicated in Art 318(1) of Regulation (EU) No 575/2013, pertinent to the loss reported in </w:t>
            </w:r>
            <w:r w:rsidR="007D4E75" w:rsidRPr="00620EA6">
              <w:rPr>
                <w:rFonts w:ascii="Times New Roman" w:hAnsi="Times New Roman"/>
                <w:sz w:val="24"/>
                <w:lang w:eastAsia="de-DE"/>
              </w:rPr>
              <w:t xml:space="preserve">column </w:t>
            </w:r>
            <w:r w:rsidRPr="00620EA6">
              <w:rPr>
                <w:rFonts w:ascii="Times New Roman" w:hAnsi="Times New Roman"/>
                <w:sz w:val="24"/>
                <w:lang w:eastAsia="de-DE"/>
              </w:rPr>
              <w:t>0010.</w:t>
            </w:r>
          </w:p>
          <w:p w14:paraId="617E084C" w14:textId="03156EE6" w:rsidR="007D4E75" w:rsidRPr="00620EA6" w:rsidRDefault="007D4E75" w:rsidP="000C47EB">
            <w:pPr>
              <w:rPr>
                <w:rStyle w:val="InstructionsTabelleberschrift"/>
                <w:rFonts w:ascii="Times New Roman" w:hAnsi="Times New Roman"/>
                <w:sz w:val="24"/>
              </w:rPr>
            </w:pPr>
            <w:r w:rsidRPr="00620EA6">
              <w:rPr>
                <w:rFonts w:ascii="Times New Roman" w:hAnsi="Times New Roman"/>
                <w:sz w:val="24"/>
                <w:lang w:eastAsia="de-DE"/>
              </w:rPr>
              <w:t>Recovery figures should always be reported with a positive sign</w:t>
            </w:r>
          </w:p>
        </w:tc>
      </w:tr>
      <w:tr w:rsidR="00E720F8" w:rsidRPr="00620EA6" w14:paraId="494347FA" w14:textId="77777777" w:rsidTr="00E132C3">
        <w:tc>
          <w:tcPr>
            <w:tcW w:w="1511" w:type="dxa"/>
          </w:tcPr>
          <w:p w14:paraId="1E602139" w14:textId="77777777" w:rsidR="00E720F8" w:rsidRPr="00620EA6" w:rsidRDefault="00E720F8" w:rsidP="000C47EB">
            <w:pPr>
              <w:rPr>
                <w:rFonts w:ascii="Times New Roman" w:hAnsi="Times New Roman"/>
                <w:sz w:val="24"/>
                <w:lang w:eastAsia="de-DE"/>
              </w:rPr>
            </w:pPr>
            <w:r w:rsidRPr="00620EA6">
              <w:rPr>
                <w:rFonts w:ascii="Times New Roman" w:hAnsi="Times New Roman"/>
                <w:sz w:val="24"/>
                <w:lang w:eastAsia="de-DE"/>
              </w:rPr>
              <w:t>0140</w:t>
            </w:r>
          </w:p>
        </w:tc>
        <w:tc>
          <w:tcPr>
            <w:tcW w:w="7551" w:type="dxa"/>
          </w:tcPr>
          <w:p w14:paraId="68E75674" w14:textId="77777777" w:rsidR="00E720F8" w:rsidRPr="00620EA6" w:rsidRDefault="00E720F8" w:rsidP="000C47EB">
            <w:pPr>
              <w:rPr>
                <w:rStyle w:val="InstructionsTabelleberschrift"/>
                <w:rFonts w:ascii="Times New Roman" w:hAnsi="Times New Roman"/>
                <w:sz w:val="24"/>
              </w:rPr>
            </w:pPr>
            <w:r w:rsidRPr="00620EA6">
              <w:rPr>
                <w:rStyle w:val="InstructionsTabelleberschrift"/>
                <w:rFonts w:ascii="Times New Roman" w:hAnsi="Times New Roman"/>
                <w:sz w:val="24"/>
              </w:rPr>
              <w:t>Insurance recoveries</w:t>
            </w:r>
          </w:p>
          <w:p w14:paraId="619A94EA" w14:textId="1CB7A314" w:rsidR="00E720F8" w:rsidRPr="00620EA6" w:rsidRDefault="00E720F8" w:rsidP="000C47EB">
            <w:pPr>
              <w:rPr>
                <w:rFonts w:ascii="Times New Roman" w:hAnsi="Times New Roman"/>
                <w:sz w:val="24"/>
                <w:lang w:eastAsia="de-DE"/>
              </w:rPr>
            </w:pPr>
            <w:r w:rsidRPr="00620EA6">
              <w:rPr>
                <w:rFonts w:ascii="Times New Roman" w:hAnsi="Times New Roman"/>
                <w:sz w:val="24"/>
                <w:lang w:eastAsia="de-DE"/>
              </w:rPr>
              <w:t xml:space="preserve">Insurance recoveries, as indicated in Art 318(1) of Regulation (EU) No 575/2013, pertinent to the loss reported in </w:t>
            </w:r>
            <w:r w:rsidR="007D4E75" w:rsidRPr="00620EA6">
              <w:rPr>
                <w:rFonts w:ascii="Times New Roman" w:hAnsi="Times New Roman"/>
                <w:sz w:val="24"/>
                <w:lang w:eastAsia="de-DE"/>
              </w:rPr>
              <w:t xml:space="preserve">column </w:t>
            </w:r>
            <w:r w:rsidRPr="00620EA6">
              <w:rPr>
                <w:rFonts w:ascii="Times New Roman" w:hAnsi="Times New Roman"/>
                <w:sz w:val="24"/>
                <w:lang w:eastAsia="de-DE"/>
              </w:rPr>
              <w:t xml:space="preserve">0010. </w:t>
            </w:r>
          </w:p>
          <w:p w14:paraId="0DEC9CAD" w14:textId="369ABEB7" w:rsidR="007D4E75" w:rsidRPr="00620EA6" w:rsidRDefault="007D4E75" w:rsidP="000C47EB">
            <w:pPr>
              <w:rPr>
                <w:rStyle w:val="InstructionsTabelleberschrift"/>
                <w:rFonts w:ascii="Times New Roman" w:hAnsi="Times New Roman"/>
                <w:sz w:val="24"/>
              </w:rPr>
            </w:pPr>
            <w:r w:rsidRPr="00620EA6">
              <w:rPr>
                <w:rFonts w:ascii="Times New Roman" w:hAnsi="Times New Roman"/>
                <w:sz w:val="24"/>
                <w:lang w:eastAsia="de-DE"/>
              </w:rPr>
              <w:t>Insurance recovery figures should always be reported with a positive sign</w:t>
            </w:r>
          </w:p>
        </w:tc>
      </w:tr>
      <w:tr w:rsidR="00E720F8" w:rsidRPr="00620EA6" w14:paraId="62268039" w14:textId="77777777" w:rsidTr="00E132C3">
        <w:tc>
          <w:tcPr>
            <w:tcW w:w="1511" w:type="dxa"/>
          </w:tcPr>
          <w:p w14:paraId="352D2553" w14:textId="77777777" w:rsidR="00E720F8" w:rsidRPr="00C27728" w:rsidRDefault="00E720F8" w:rsidP="000C47EB">
            <w:pPr>
              <w:rPr>
                <w:rFonts w:ascii="Times New Roman" w:hAnsi="Times New Roman"/>
                <w:sz w:val="24"/>
                <w:lang w:eastAsia="de-DE"/>
              </w:rPr>
            </w:pPr>
            <w:r w:rsidRPr="00C27728">
              <w:rPr>
                <w:rFonts w:ascii="Times New Roman" w:hAnsi="Times New Roman"/>
                <w:sz w:val="24"/>
                <w:lang w:eastAsia="de-DE"/>
              </w:rPr>
              <w:t>0200</w:t>
            </w:r>
          </w:p>
          <w:p w14:paraId="1FFDC363" w14:textId="77777777" w:rsidR="00E720F8" w:rsidRPr="00C27728" w:rsidRDefault="00E720F8" w:rsidP="000C47EB">
            <w:pPr>
              <w:rPr>
                <w:rFonts w:ascii="Times New Roman" w:hAnsi="Times New Roman"/>
                <w:sz w:val="24"/>
                <w:lang w:eastAsia="de-DE"/>
              </w:rPr>
            </w:pPr>
            <w:r w:rsidRPr="00C27728">
              <w:rPr>
                <w:rFonts w:ascii="Times New Roman" w:hAnsi="Times New Roman"/>
                <w:sz w:val="24"/>
                <w:lang w:eastAsia="de-DE"/>
              </w:rPr>
              <w:t>0210</w:t>
            </w:r>
          </w:p>
          <w:p w14:paraId="653D6575" w14:textId="77777777" w:rsidR="00E720F8" w:rsidRPr="00C27728" w:rsidRDefault="00E720F8" w:rsidP="000C47EB">
            <w:pPr>
              <w:rPr>
                <w:rFonts w:ascii="Times New Roman" w:hAnsi="Times New Roman"/>
                <w:sz w:val="24"/>
                <w:lang w:eastAsia="de-DE"/>
              </w:rPr>
            </w:pPr>
            <w:r w:rsidRPr="00C27728">
              <w:rPr>
                <w:rFonts w:ascii="Times New Roman" w:hAnsi="Times New Roman"/>
                <w:sz w:val="24"/>
                <w:lang w:eastAsia="de-DE"/>
              </w:rPr>
              <w:t>0220</w:t>
            </w:r>
          </w:p>
          <w:p w14:paraId="7F6A380E" w14:textId="77777777" w:rsidR="00E720F8" w:rsidRPr="00C27728" w:rsidRDefault="00E720F8" w:rsidP="000C47EB">
            <w:pPr>
              <w:rPr>
                <w:rFonts w:ascii="Times New Roman" w:hAnsi="Times New Roman"/>
                <w:sz w:val="24"/>
                <w:lang w:eastAsia="de-DE"/>
              </w:rPr>
            </w:pPr>
            <w:r w:rsidRPr="00C27728">
              <w:rPr>
                <w:rFonts w:ascii="Times New Roman" w:hAnsi="Times New Roman"/>
                <w:sz w:val="24"/>
                <w:lang w:eastAsia="de-DE"/>
              </w:rPr>
              <w:t>0230</w:t>
            </w:r>
          </w:p>
          <w:p w14:paraId="28F56946" w14:textId="77777777" w:rsidR="00E720F8" w:rsidRPr="00C27728" w:rsidRDefault="00E720F8" w:rsidP="000C47EB">
            <w:pPr>
              <w:rPr>
                <w:rFonts w:ascii="Times New Roman" w:hAnsi="Times New Roman"/>
                <w:sz w:val="24"/>
                <w:lang w:eastAsia="de-DE"/>
              </w:rPr>
            </w:pPr>
            <w:r w:rsidRPr="00C27728">
              <w:rPr>
                <w:rFonts w:ascii="Times New Roman" w:hAnsi="Times New Roman"/>
                <w:sz w:val="24"/>
                <w:lang w:eastAsia="de-DE"/>
              </w:rPr>
              <w:t>0240</w:t>
            </w:r>
          </w:p>
          <w:p w14:paraId="69D46364" w14:textId="77777777" w:rsidR="00E720F8" w:rsidRPr="00C27728" w:rsidRDefault="00E720F8" w:rsidP="000C47EB">
            <w:pPr>
              <w:rPr>
                <w:rFonts w:ascii="Times New Roman" w:hAnsi="Times New Roman"/>
                <w:sz w:val="24"/>
                <w:lang w:eastAsia="de-DE"/>
              </w:rPr>
            </w:pPr>
            <w:r w:rsidRPr="00C27728">
              <w:rPr>
                <w:rFonts w:ascii="Times New Roman" w:hAnsi="Times New Roman"/>
                <w:sz w:val="24"/>
                <w:lang w:eastAsia="de-DE"/>
              </w:rPr>
              <w:t>0250</w:t>
            </w:r>
          </w:p>
          <w:p w14:paraId="13F5DFAD" w14:textId="77777777" w:rsidR="00E720F8" w:rsidRPr="00C27728" w:rsidRDefault="00E720F8" w:rsidP="000C47EB">
            <w:pPr>
              <w:rPr>
                <w:rFonts w:ascii="Times New Roman" w:hAnsi="Times New Roman"/>
                <w:sz w:val="24"/>
                <w:lang w:eastAsia="de-DE"/>
              </w:rPr>
            </w:pPr>
            <w:r w:rsidRPr="00C27728">
              <w:rPr>
                <w:rFonts w:ascii="Times New Roman" w:hAnsi="Times New Roman"/>
                <w:sz w:val="24"/>
                <w:lang w:eastAsia="de-DE"/>
              </w:rPr>
              <w:t>0260</w:t>
            </w:r>
          </w:p>
          <w:p w14:paraId="5A92BC59" w14:textId="77777777" w:rsidR="00E720F8" w:rsidRPr="00C27728" w:rsidRDefault="00E720F8" w:rsidP="000C47EB">
            <w:pPr>
              <w:rPr>
                <w:rFonts w:ascii="Times New Roman" w:hAnsi="Times New Roman"/>
                <w:sz w:val="24"/>
                <w:lang w:eastAsia="de-DE"/>
              </w:rPr>
            </w:pPr>
            <w:r w:rsidRPr="00C27728">
              <w:rPr>
                <w:rFonts w:ascii="Times New Roman" w:hAnsi="Times New Roman"/>
                <w:sz w:val="24"/>
                <w:lang w:eastAsia="de-DE"/>
              </w:rPr>
              <w:t>0270</w:t>
            </w:r>
          </w:p>
          <w:p w14:paraId="4A508DA1" w14:textId="77777777" w:rsidR="00E720F8" w:rsidRPr="00C27728" w:rsidRDefault="00E720F8" w:rsidP="000C47EB">
            <w:pPr>
              <w:rPr>
                <w:rFonts w:ascii="Times New Roman" w:hAnsi="Times New Roman"/>
                <w:sz w:val="24"/>
                <w:lang w:eastAsia="de-DE"/>
              </w:rPr>
            </w:pPr>
            <w:r w:rsidRPr="00C27728">
              <w:rPr>
                <w:rFonts w:ascii="Times New Roman" w:hAnsi="Times New Roman"/>
                <w:sz w:val="24"/>
                <w:lang w:eastAsia="de-DE"/>
              </w:rPr>
              <w:t>0280</w:t>
            </w:r>
          </w:p>
          <w:p w14:paraId="0F563787" w14:textId="77777777" w:rsidR="00E720F8" w:rsidRPr="00620EA6" w:rsidRDefault="00E720F8" w:rsidP="000C47EB">
            <w:pPr>
              <w:rPr>
                <w:rFonts w:ascii="Times New Roman" w:hAnsi="Times New Roman"/>
                <w:sz w:val="24"/>
                <w:highlight w:val="yellow"/>
                <w:lang w:eastAsia="de-DE"/>
              </w:rPr>
            </w:pPr>
          </w:p>
        </w:tc>
        <w:tc>
          <w:tcPr>
            <w:tcW w:w="7551" w:type="dxa"/>
          </w:tcPr>
          <w:p w14:paraId="799CE7F1" w14:textId="77777777" w:rsidR="00E720F8" w:rsidRPr="00620EA6" w:rsidRDefault="00E720F8" w:rsidP="000C47EB">
            <w:pPr>
              <w:rPr>
                <w:rStyle w:val="InstructionsTabelleberschrift"/>
                <w:rFonts w:ascii="Times New Roman" w:hAnsi="Times New Roman"/>
                <w:sz w:val="24"/>
              </w:rPr>
            </w:pPr>
            <w:r w:rsidRPr="00620EA6">
              <w:rPr>
                <w:rStyle w:val="InstructionsTabelleberschrift"/>
                <w:rFonts w:ascii="Times New Roman" w:hAnsi="Times New Roman"/>
                <w:sz w:val="24"/>
              </w:rPr>
              <w:t>Attributes</w:t>
            </w:r>
          </w:p>
          <w:p w14:paraId="137B07B5" w14:textId="77777777" w:rsidR="00E720F8" w:rsidRPr="00620EA6" w:rsidRDefault="00E720F8" w:rsidP="00E720F8">
            <w:pPr>
              <w:pStyle w:val="ListParagraph"/>
              <w:numPr>
                <w:ilvl w:val="0"/>
                <w:numId w:val="42"/>
              </w:numPr>
              <w:contextualSpacing/>
              <w:rPr>
                <w:rFonts w:ascii="Times New Roman" w:hAnsi="Times New Roman"/>
                <w:sz w:val="24"/>
                <w:lang w:eastAsia="de-DE"/>
              </w:rPr>
            </w:pPr>
            <w:r w:rsidRPr="00620EA6">
              <w:rPr>
                <w:rFonts w:ascii="Times New Roman" w:hAnsi="Times New Roman"/>
                <w:sz w:val="24"/>
                <w:lang w:eastAsia="de-DE"/>
              </w:rPr>
              <w:t>Legal risk</w:t>
            </w:r>
          </w:p>
          <w:p w14:paraId="71E367AB" w14:textId="77777777" w:rsidR="00E720F8" w:rsidRPr="00620EA6" w:rsidRDefault="00E720F8" w:rsidP="00E720F8">
            <w:pPr>
              <w:pStyle w:val="ListParagraph"/>
              <w:numPr>
                <w:ilvl w:val="0"/>
                <w:numId w:val="42"/>
              </w:numPr>
              <w:contextualSpacing/>
              <w:rPr>
                <w:rFonts w:ascii="Times New Roman" w:hAnsi="Times New Roman"/>
                <w:sz w:val="24"/>
                <w:lang w:eastAsia="de-DE"/>
              </w:rPr>
            </w:pPr>
            <w:r w:rsidRPr="00620EA6">
              <w:rPr>
                <w:rFonts w:ascii="Times New Roman" w:hAnsi="Times New Roman"/>
                <w:sz w:val="24"/>
                <w:lang w:eastAsia="de-DE"/>
              </w:rPr>
              <w:t>Model risk</w:t>
            </w:r>
          </w:p>
          <w:p w14:paraId="3C0CFED0" w14:textId="77777777" w:rsidR="00E720F8" w:rsidRPr="00620EA6" w:rsidRDefault="00E720F8" w:rsidP="00E720F8">
            <w:pPr>
              <w:pStyle w:val="ListParagraph"/>
              <w:numPr>
                <w:ilvl w:val="0"/>
                <w:numId w:val="42"/>
              </w:numPr>
              <w:contextualSpacing/>
              <w:rPr>
                <w:rFonts w:ascii="Times New Roman" w:hAnsi="Times New Roman"/>
                <w:sz w:val="24"/>
                <w:lang w:eastAsia="de-DE"/>
              </w:rPr>
            </w:pPr>
            <w:r w:rsidRPr="00620EA6">
              <w:rPr>
                <w:rFonts w:ascii="Times New Roman" w:hAnsi="Times New Roman"/>
                <w:sz w:val="24"/>
                <w:lang w:eastAsia="de-DE"/>
              </w:rPr>
              <w:t>ICT risk – not related to Cyber</w:t>
            </w:r>
          </w:p>
          <w:p w14:paraId="5998366C" w14:textId="77777777" w:rsidR="00E720F8" w:rsidRPr="00620EA6" w:rsidRDefault="00E720F8" w:rsidP="00E720F8">
            <w:pPr>
              <w:pStyle w:val="ListParagraph"/>
              <w:numPr>
                <w:ilvl w:val="0"/>
                <w:numId w:val="42"/>
              </w:numPr>
              <w:contextualSpacing/>
              <w:rPr>
                <w:rFonts w:ascii="Times New Roman" w:hAnsi="Times New Roman"/>
                <w:sz w:val="24"/>
                <w:lang w:eastAsia="de-DE"/>
              </w:rPr>
            </w:pPr>
            <w:r w:rsidRPr="00620EA6">
              <w:rPr>
                <w:rFonts w:ascii="Times New Roman" w:hAnsi="Times New Roman"/>
                <w:sz w:val="24"/>
                <w:lang w:eastAsia="de-DE"/>
              </w:rPr>
              <w:t>ICT risk – related to Cyber</w:t>
            </w:r>
          </w:p>
          <w:p w14:paraId="028C3885" w14:textId="5B8FD48C" w:rsidR="009E20D4" w:rsidRPr="00620EA6" w:rsidRDefault="009E20D4" w:rsidP="00E720F8">
            <w:pPr>
              <w:pStyle w:val="ListParagraph"/>
              <w:numPr>
                <w:ilvl w:val="0"/>
                <w:numId w:val="42"/>
              </w:numPr>
              <w:contextualSpacing/>
              <w:rPr>
                <w:rFonts w:ascii="Times New Roman" w:hAnsi="Times New Roman"/>
                <w:sz w:val="24"/>
                <w:lang w:eastAsia="de-DE"/>
              </w:rPr>
            </w:pPr>
            <w:r w:rsidRPr="00620EA6">
              <w:rPr>
                <w:rFonts w:ascii="Times New Roman" w:hAnsi="Times New Roman"/>
                <w:sz w:val="24"/>
                <w:lang w:eastAsia="de-DE"/>
              </w:rPr>
              <w:t>Boundary</w:t>
            </w:r>
          </w:p>
          <w:p w14:paraId="3F6CA44D" w14:textId="77777777" w:rsidR="00E720F8" w:rsidRPr="00620EA6" w:rsidRDefault="00E720F8" w:rsidP="00E720F8">
            <w:pPr>
              <w:pStyle w:val="ListParagraph"/>
              <w:numPr>
                <w:ilvl w:val="0"/>
                <w:numId w:val="42"/>
              </w:numPr>
              <w:contextualSpacing/>
              <w:rPr>
                <w:rFonts w:ascii="Times New Roman" w:hAnsi="Times New Roman"/>
                <w:sz w:val="24"/>
                <w:lang w:eastAsia="de-DE"/>
              </w:rPr>
            </w:pPr>
            <w:r w:rsidRPr="00620EA6">
              <w:rPr>
                <w:rFonts w:ascii="Times New Roman" w:hAnsi="Times New Roman"/>
                <w:sz w:val="24"/>
                <w:lang w:eastAsia="de-DE"/>
              </w:rPr>
              <w:t>Third party risk</w:t>
            </w:r>
          </w:p>
          <w:p w14:paraId="45E7FA5C" w14:textId="77777777" w:rsidR="00E720F8" w:rsidRPr="00620EA6" w:rsidRDefault="00E720F8" w:rsidP="00E720F8">
            <w:pPr>
              <w:pStyle w:val="ListParagraph"/>
              <w:numPr>
                <w:ilvl w:val="0"/>
                <w:numId w:val="42"/>
              </w:numPr>
              <w:contextualSpacing/>
              <w:rPr>
                <w:rFonts w:ascii="Times New Roman" w:hAnsi="Times New Roman"/>
                <w:sz w:val="24"/>
                <w:lang w:eastAsia="de-DE"/>
              </w:rPr>
            </w:pPr>
            <w:r w:rsidRPr="00620EA6">
              <w:rPr>
                <w:rFonts w:ascii="Times New Roman" w:hAnsi="Times New Roman"/>
                <w:sz w:val="24"/>
                <w:lang w:eastAsia="de-DE"/>
              </w:rPr>
              <w:t>ESG (Environmental, social and governance risks)</w:t>
            </w:r>
          </w:p>
          <w:p w14:paraId="6F7C73D6" w14:textId="77777777" w:rsidR="00E720F8" w:rsidRPr="00620EA6" w:rsidRDefault="00E720F8" w:rsidP="00E720F8">
            <w:pPr>
              <w:pStyle w:val="ListParagraph"/>
              <w:numPr>
                <w:ilvl w:val="0"/>
                <w:numId w:val="42"/>
              </w:numPr>
              <w:contextualSpacing/>
              <w:rPr>
                <w:rFonts w:ascii="Times New Roman" w:hAnsi="Times New Roman"/>
                <w:sz w:val="24"/>
                <w:lang w:eastAsia="de-DE"/>
              </w:rPr>
            </w:pPr>
            <w:r w:rsidRPr="00620EA6">
              <w:rPr>
                <w:rFonts w:ascii="Times New Roman" w:hAnsi="Times New Roman"/>
                <w:sz w:val="24"/>
                <w:lang w:eastAsia="de-DE"/>
              </w:rPr>
              <w:t>Greenwashing risk</w:t>
            </w:r>
          </w:p>
          <w:p w14:paraId="1474BF79" w14:textId="77777777" w:rsidR="00E720F8" w:rsidRPr="00620EA6" w:rsidRDefault="00E720F8" w:rsidP="00E720F8">
            <w:pPr>
              <w:pStyle w:val="ListParagraph"/>
              <w:numPr>
                <w:ilvl w:val="0"/>
                <w:numId w:val="42"/>
              </w:numPr>
              <w:contextualSpacing/>
              <w:rPr>
                <w:rFonts w:ascii="Times New Roman" w:hAnsi="Times New Roman"/>
                <w:sz w:val="24"/>
                <w:lang w:eastAsia="de-DE"/>
              </w:rPr>
            </w:pPr>
            <w:r w:rsidRPr="00620EA6">
              <w:rPr>
                <w:rFonts w:ascii="Times New Roman" w:hAnsi="Times New Roman"/>
                <w:sz w:val="24"/>
                <w:lang w:eastAsia="de-DE"/>
              </w:rPr>
              <w:t>Business Continuity</w:t>
            </w:r>
          </w:p>
          <w:p w14:paraId="43C46ECD" w14:textId="681D2FC8" w:rsidR="00D65AAB" w:rsidRPr="00620EA6" w:rsidRDefault="00E720F8" w:rsidP="00D65AAB">
            <w:pPr>
              <w:tabs>
                <w:tab w:val="num" w:pos="720"/>
              </w:tabs>
              <w:spacing w:before="100" w:beforeAutospacing="1" w:after="100" w:afterAutospacing="1"/>
              <w:jc w:val="left"/>
              <w:rPr>
                <w:rFonts w:ascii="Times New Roman" w:hAnsi="Times New Roman"/>
                <w:sz w:val="24"/>
                <w:lang w:eastAsia="de-DE"/>
              </w:rPr>
            </w:pPr>
            <w:r w:rsidRPr="00620EA6">
              <w:rPr>
                <w:rFonts w:ascii="Times New Roman" w:hAnsi="Times New Roman"/>
                <w:sz w:val="24"/>
              </w:rPr>
              <w:t xml:space="preserve">For each </w:t>
            </w:r>
            <w:r w:rsidR="00D65AAB" w:rsidRPr="00620EA6">
              <w:rPr>
                <w:rFonts w:ascii="Times New Roman" w:hAnsi="Times New Roman"/>
                <w:sz w:val="24"/>
              </w:rPr>
              <w:t xml:space="preserve">of the following </w:t>
            </w:r>
            <w:r w:rsidRPr="00620EA6">
              <w:rPr>
                <w:rFonts w:ascii="Times New Roman" w:hAnsi="Times New Roman"/>
                <w:sz w:val="24"/>
              </w:rPr>
              <w:t>attribute</w:t>
            </w:r>
            <w:r w:rsidR="00D65AAB" w:rsidRPr="00620EA6">
              <w:rPr>
                <w:rFonts w:ascii="Times New Roman" w:hAnsi="Times New Roman"/>
                <w:sz w:val="24"/>
              </w:rPr>
              <w:t xml:space="preserve">s: </w:t>
            </w:r>
            <w:r w:rsidR="00D65AAB" w:rsidRPr="00620EA6">
              <w:rPr>
                <w:rFonts w:ascii="Times New Roman" w:hAnsi="Times New Roman"/>
                <w:b/>
                <w:bCs/>
                <w:sz w:val="24"/>
                <w:lang w:eastAsia="de-DE"/>
              </w:rPr>
              <w:t xml:space="preserve">Model risk, ICT risk – not related to Cyber, </w:t>
            </w:r>
            <w:proofErr w:type="gramStart"/>
            <w:r w:rsidR="00D65AAB" w:rsidRPr="00620EA6">
              <w:rPr>
                <w:rFonts w:ascii="Times New Roman" w:hAnsi="Times New Roman"/>
                <w:b/>
                <w:bCs/>
                <w:sz w:val="24"/>
                <w:lang w:eastAsia="de-DE"/>
              </w:rPr>
              <w:t>Third</w:t>
            </w:r>
            <w:proofErr w:type="gramEnd"/>
            <w:r w:rsidR="00D65AAB" w:rsidRPr="00620EA6">
              <w:rPr>
                <w:rFonts w:ascii="Times New Roman" w:hAnsi="Times New Roman"/>
                <w:b/>
                <w:bCs/>
                <w:sz w:val="24"/>
                <w:lang w:eastAsia="de-DE"/>
              </w:rPr>
              <w:t xml:space="preserve"> party risk, ESG (Environmental, social and governance risks), Greenwashing risk, Business Continuity</w:t>
            </w:r>
            <w:r w:rsidR="00D65AAB" w:rsidRPr="00620EA6">
              <w:rPr>
                <w:rFonts w:ascii="Times New Roman" w:hAnsi="Times New Roman"/>
                <w:sz w:val="24"/>
                <w:lang w:eastAsia="de-DE"/>
              </w:rPr>
              <w:t>,</w:t>
            </w:r>
            <w:r w:rsidR="00E132C3" w:rsidRPr="00620EA6">
              <w:rPr>
                <w:rFonts w:ascii="Times New Roman" w:hAnsi="Times New Roman"/>
                <w:sz w:val="24"/>
                <w:lang w:eastAsia="de-DE"/>
              </w:rPr>
              <w:t xml:space="preserve"> </w:t>
            </w:r>
            <w:r w:rsidR="00E132C3" w:rsidRPr="00620EA6">
              <w:rPr>
                <w:rFonts w:ascii="Times New Roman" w:hAnsi="Times New Roman"/>
                <w:sz w:val="24"/>
              </w:rPr>
              <w:t>the</w:t>
            </w:r>
            <w:r w:rsidR="00D65AAB" w:rsidRPr="00620EA6">
              <w:rPr>
                <w:rFonts w:ascii="Times New Roman" w:hAnsi="Times New Roman"/>
                <w:sz w:val="24"/>
                <w:lang w:eastAsia="en-GB"/>
              </w:rPr>
              <w:t xml:space="preserve"> field shall take one of the following values: </w:t>
            </w:r>
          </w:p>
          <w:p w14:paraId="61DB8730" w14:textId="1E900516" w:rsidR="00D65AAB" w:rsidRPr="00620EA6" w:rsidRDefault="00D65AAB" w:rsidP="00D65AAB">
            <w:pPr>
              <w:pStyle w:val="ListParagraph"/>
              <w:numPr>
                <w:ilvl w:val="0"/>
                <w:numId w:val="41"/>
              </w:numPr>
              <w:spacing w:before="100" w:beforeAutospacing="1" w:after="100" w:afterAutospacing="1"/>
              <w:contextualSpacing/>
              <w:jc w:val="left"/>
              <w:rPr>
                <w:rFonts w:ascii="Times New Roman" w:hAnsi="Times New Roman"/>
                <w:sz w:val="24"/>
                <w:lang w:eastAsia="en-GB"/>
              </w:rPr>
            </w:pPr>
            <w:r w:rsidRPr="00620EA6">
              <w:rPr>
                <w:rFonts w:ascii="Times New Roman" w:hAnsi="Times New Roman"/>
                <w:b/>
                <w:bCs/>
                <w:sz w:val="24"/>
                <w:lang w:eastAsia="en-GB"/>
              </w:rPr>
              <w:t>Y (Yes)</w:t>
            </w:r>
            <w:r w:rsidRPr="00620EA6">
              <w:rPr>
                <w:rFonts w:ascii="Times New Roman" w:hAnsi="Times New Roman"/>
                <w:sz w:val="24"/>
                <w:lang w:eastAsia="en-GB"/>
              </w:rPr>
              <w:t xml:space="preserve"> – the attribute applies to that event.</w:t>
            </w:r>
          </w:p>
          <w:p w14:paraId="5983F42B" w14:textId="1D5BE1C8" w:rsidR="00D65AAB" w:rsidRPr="00620EA6" w:rsidRDefault="00D65AAB" w:rsidP="00A35675">
            <w:pPr>
              <w:pStyle w:val="ListParagraph"/>
              <w:numPr>
                <w:ilvl w:val="0"/>
                <w:numId w:val="41"/>
              </w:numPr>
              <w:spacing w:before="100" w:beforeAutospacing="1" w:after="100" w:afterAutospacing="1"/>
              <w:contextualSpacing/>
              <w:jc w:val="left"/>
              <w:rPr>
                <w:rFonts w:ascii="Times New Roman" w:hAnsi="Times New Roman"/>
                <w:sz w:val="24"/>
              </w:rPr>
            </w:pPr>
            <w:r w:rsidRPr="00620EA6">
              <w:rPr>
                <w:rFonts w:ascii="Times New Roman" w:hAnsi="Times New Roman"/>
                <w:b/>
                <w:bCs/>
                <w:sz w:val="24"/>
                <w:lang w:eastAsia="en-GB"/>
              </w:rPr>
              <w:t>N (No)</w:t>
            </w:r>
            <w:r w:rsidRPr="00620EA6">
              <w:rPr>
                <w:rFonts w:ascii="Times New Roman" w:hAnsi="Times New Roman"/>
                <w:sz w:val="24"/>
                <w:lang w:eastAsia="en-GB"/>
              </w:rPr>
              <w:t xml:space="preserve"> – the attribute does not apply to that event </w:t>
            </w:r>
          </w:p>
          <w:p w14:paraId="21DC867D" w14:textId="7F88FA2D" w:rsidR="009E20D4" w:rsidRPr="00620EA6" w:rsidRDefault="009E20D4" w:rsidP="009E20D4">
            <w:pPr>
              <w:rPr>
                <w:rFonts w:ascii="Times New Roman" w:hAnsi="Times New Roman"/>
                <w:sz w:val="24"/>
              </w:rPr>
            </w:pPr>
            <w:r w:rsidRPr="00620EA6">
              <w:rPr>
                <w:rFonts w:ascii="Times New Roman" w:hAnsi="Times New Roman"/>
                <w:sz w:val="24"/>
              </w:rPr>
              <w:t xml:space="preserve">For the attribute: </w:t>
            </w:r>
            <w:r w:rsidRPr="00620EA6">
              <w:rPr>
                <w:rFonts w:ascii="Times New Roman" w:hAnsi="Times New Roman"/>
                <w:b/>
                <w:bCs/>
                <w:sz w:val="24"/>
                <w:lang w:eastAsia="de-DE"/>
              </w:rPr>
              <w:t>Legal risk</w:t>
            </w:r>
            <w:r w:rsidRPr="00620EA6">
              <w:rPr>
                <w:rFonts w:ascii="Times New Roman" w:hAnsi="Times New Roman"/>
                <w:sz w:val="24"/>
                <w:lang w:eastAsia="de-DE"/>
              </w:rPr>
              <w:t xml:space="preserve">, </w:t>
            </w:r>
            <w:r w:rsidR="00E132C3" w:rsidRPr="00620EA6">
              <w:rPr>
                <w:rFonts w:ascii="Times New Roman" w:hAnsi="Times New Roman"/>
                <w:sz w:val="24"/>
              </w:rPr>
              <w:t>the</w:t>
            </w:r>
            <w:r w:rsidR="00E132C3" w:rsidRPr="00620EA6">
              <w:rPr>
                <w:rFonts w:ascii="Times New Roman" w:hAnsi="Times New Roman"/>
                <w:sz w:val="24"/>
                <w:lang w:eastAsia="en-GB"/>
              </w:rPr>
              <w:t xml:space="preserve"> field shall take </w:t>
            </w:r>
            <w:r w:rsidRPr="00620EA6">
              <w:rPr>
                <w:rFonts w:ascii="Times New Roman" w:hAnsi="Times New Roman"/>
                <w:sz w:val="24"/>
                <w:lang w:eastAsia="de-DE"/>
              </w:rPr>
              <w:t>one of the following values</w:t>
            </w:r>
            <w:r w:rsidR="00D23C8F" w:rsidRPr="00620EA6">
              <w:rPr>
                <w:rFonts w:ascii="Times New Roman" w:hAnsi="Times New Roman"/>
                <w:sz w:val="24"/>
              </w:rPr>
              <w:t>:</w:t>
            </w:r>
          </w:p>
          <w:p w14:paraId="478565EE" w14:textId="3AC35E26" w:rsidR="009E20D4" w:rsidRPr="00620EA6" w:rsidRDefault="009E20D4" w:rsidP="009E20D4">
            <w:pPr>
              <w:pStyle w:val="ListParagraph"/>
              <w:numPr>
                <w:ilvl w:val="0"/>
                <w:numId w:val="41"/>
              </w:numPr>
              <w:spacing w:before="100" w:beforeAutospacing="1" w:after="100" w:afterAutospacing="1"/>
              <w:contextualSpacing/>
              <w:jc w:val="left"/>
              <w:rPr>
                <w:rFonts w:ascii="Times New Roman" w:hAnsi="Times New Roman"/>
                <w:sz w:val="24"/>
                <w:lang w:eastAsia="en-GB"/>
              </w:rPr>
            </w:pPr>
            <w:r w:rsidRPr="00620EA6">
              <w:rPr>
                <w:rFonts w:ascii="Times New Roman" w:hAnsi="Times New Roman"/>
                <w:b/>
                <w:bCs/>
                <w:sz w:val="24"/>
                <w:lang w:eastAsia="en-GB"/>
              </w:rPr>
              <w:t>“Misconduct”</w:t>
            </w:r>
            <w:r w:rsidRPr="00620EA6">
              <w:rPr>
                <w:rFonts w:ascii="Times New Roman" w:hAnsi="Times New Roman"/>
                <w:sz w:val="24"/>
                <w:lang w:eastAsia="en-GB"/>
              </w:rPr>
              <w:t xml:space="preserve"> – the attribute applies to that event and has been classified as a misconduct event</w:t>
            </w:r>
          </w:p>
          <w:p w14:paraId="3C333A91" w14:textId="156996F8" w:rsidR="009E20D4" w:rsidRPr="00620EA6" w:rsidRDefault="009E20D4" w:rsidP="009E20D4">
            <w:pPr>
              <w:pStyle w:val="ListParagraph"/>
              <w:numPr>
                <w:ilvl w:val="0"/>
                <w:numId w:val="41"/>
              </w:numPr>
              <w:spacing w:before="100" w:beforeAutospacing="1" w:after="100" w:afterAutospacing="1"/>
              <w:contextualSpacing/>
              <w:jc w:val="left"/>
              <w:rPr>
                <w:rFonts w:ascii="Times New Roman" w:hAnsi="Times New Roman"/>
                <w:sz w:val="24"/>
                <w:lang w:eastAsia="en-GB"/>
              </w:rPr>
            </w:pPr>
            <w:r w:rsidRPr="00620EA6">
              <w:rPr>
                <w:rFonts w:ascii="Times New Roman" w:hAnsi="Times New Roman"/>
                <w:b/>
                <w:bCs/>
                <w:sz w:val="24"/>
                <w:lang w:eastAsia="en-GB"/>
              </w:rPr>
              <w:t xml:space="preserve">“Other than misconduct” </w:t>
            </w:r>
            <w:r w:rsidRPr="00620EA6">
              <w:rPr>
                <w:rFonts w:ascii="Times New Roman" w:hAnsi="Times New Roman"/>
                <w:sz w:val="24"/>
                <w:lang w:eastAsia="en-GB"/>
              </w:rPr>
              <w:t>– the attribute applies to that event and has not been classified as a misconduct event</w:t>
            </w:r>
          </w:p>
          <w:p w14:paraId="145A9E33" w14:textId="77777777" w:rsidR="009E20D4" w:rsidRPr="00620EA6" w:rsidRDefault="009E20D4" w:rsidP="009E20D4">
            <w:pPr>
              <w:pStyle w:val="ListParagraph"/>
              <w:numPr>
                <w:ilvl w:val="0"/>
                <w:numId w:val="41"/>
              </w:numPr>
              <w:spacing w:before="100" w:beforeAutospacing="1" w:after="100" w:afterAutospacing="1"/>
              <w:contextualSpacing/>
              <w:jc w:val="left"/>
              <w:rPr>
                <w:rFonts w:ascii="Times New Roman" w:hAnsi="Times New Roman"/>
                <w:sz w:val="24"/>
              </w:rPr>
            </w:pPr>
            <w:r w:rsidRPr="00620EA6">
              <w:rPr>
                <w:rFonts w:ascii="Times New Roman" w:hAnsi="Times New Roman"/>
                <w:b/>
                <w:bCs/>
                <w:sz w:val="24"/>
                <w:lang w:eastAsia="en-GB"/>
              </w:rPr>
              <w:t xml:space="preserve">N(No) </w:t>
            </w:r>
            <w:r w:rsidRPr="00620EA6">
              <w:rPr>
                <w:rFonts w:ascii="Times New Roman" w:hAnsi="Times New Roman"/>
                <w:sz w:val="24"/>
                <w:lang w:eastAsia="en-GB"/>
              </w:rPr>
              <w:t xml:space="preserve">– the attribute does not apply to that event </w:t>
            </w:r>
          </w:p>
          <w:p w14:paraId="29982BEC" w14:textId="24BE5848" w:rsidR="00D65AAB" w:rsidRPr="00620EA6" w:rsidRDefault="00D65AAB" w:rsidP="009E20D4">
            <w:pPr>
              <w:rPr>
                <w:rFonts w:ascii="Times New Roman" w:hAnsi="Times New Roman"/>
                <w:sz w:val="24"/>
                <w:lang w:eastAsia="de-DE"/>
              </w:rPr>
            </w:pPr>
            <w:r w:rsidRPr="00620EA6">
              <w:rPr>
                <w:rFonts w:ascii="Times New Roman" w:hAnsi="Times New Roman"/>
                <w:sz w:val="24"/>
              </w:rPr>
              <w:lastRenderedPageBreak/>
              <w:t xml:space="preserve">For the attribute: </w:t>
            </w:r>
            <w:r w:rsidRPr="00620EA6">
              <w:rPr>
                <w:rFonts w:ascii="Times New Roman" w:hAnsi="Times New Roman"/>
                <w:b/>
                <w:bCs/>
                <w:sz w:val="24"/>
                <w:lang w:eastAsia="de-DE"/>
              </w:rPr>
              <w:t>ICT risk – related to Cyber</w:t>
            </w:r>
            <w:r w:rsidRPr="00620EA6">
              <w:rPr>
                <w:rFonts w:ascii="Times New Roman" w:hAnsi="Times New Roman"/>
                <w:sz w:val="24"/>
                <w:lang w:eastAsia="de-DE"/>
              </w:rPr>
              <w:t xml:space="preserve">, </w:t>
            </w:r>
            <w:r w:rsidR="00E132C3" w:rsidRPr="00620EA6">
              <w:rPr>
                <w:rFonts w:ascii="Times New Roman" w:hAnsi="Times New Roman"/>
                <w:sz w:val="24"/>
              </w:rPr>
              <w:t>the</w:t>
            </w:r>
            <w:r w:rsidR="00E132C3" w:rsidRPr="00620EA6">
              <w:rPr>
                <w:rFonts w:ascii="Times New Roman" w:hAnsi="Times New Roman"/>
                <w:sz w:val="24"/>
                <w:lang w:eastAsia="en-GB"/>
              </w:rPr>
              <w:t xml:space="preserve"> field shall take </w:t>
            </w:r>
            <w:r w:rsidR="009E20D4" w:rsidRPr="00620EA6">
              <w:rPr>
                <w:rFonts w:ascii="Times New Roman" w:hAnsi="Times New Roman"/>
                <w:sz w:val="24"/>
                <w:lang w:eastAsia="de-DE"/>
              </w:rPr>
              <w:t>one of the following values:</w:t>
            </w:r>
          </w:p>
          <w:p w14:paraId="5FA190A7" w14:textId="73781DF8" w:rsidR="009E20D4" w:rsidRPr="00620EA6" w:rsidRDefault="009E20D4" w:rsidP="009E20D4">
            <w:pPr>
              <w:pStyle w:val="ListParagraph"/>
              <w:numPr>
                <w:ilvl w:val="0"/>
                <w:numId w:val="41"/>
              </w:numPr>
              <w:spacing w:before="100" w:beforeAutospacing="1" w:after="100" w:afterAutospacing="1"/>
              <w:contextualSpacing/>
              <w:jc w:val="left"/>
              <w:rPr>
                <w:rFonts w:ascii="Times New Roman" w:hAnsi="Times New Roman"/>
                <w:sz w:val="24"/>
                <w:lang w:eastAsia="en-GB"/>
              </w:rPr>
            </w:pPr>
            <w:r w:rsidRPr="00620EA6">
              <w:rPr>
                <w:rFonts w:ascii="Times New Roman" w:hAnsi="Times New Roman"/>
                <w:b/>
                <w:bCs/>
                <w:sz w:val="24"/>
                <w:lang w:eastAsia="en-GB"/>
              </w:rPr>
              <w:t xml:space="preserve">Reported to the Competent Authority </w:t>
            </w:r>
            <w:r w:rsidRPr="00620EA6">
              <w:rPr>
                <w:rFonts w:ascii="Times New Roman" w:hAnsi="Times New Roman"/>
                <w:sz w:val="24"/>
                <w:lang w:eastAsia="en-GB"/>
              </w:rPr>
              <w:t>– the attribute applies to that event and has been reported to the Competent Authority</w:t>
            </w:r>
          </w:p>
          <w:p w14:paraId="494BF66B" w14:textId="58916EA4" w:rsidR="009E20D4" w:rsidRPr="00620EA6" w:rsidRDefault="009E20D4" w:rsidP="009E20D4">
            <w:pPr>
              <w:pStyle w:val="ListParagraph"/>
              <w:numPr>
                <w:ilvl w:val="0"/>
                <w:numId w:val="41"/>
              </w:numPr>
              <w:spacing w:before="100" w:beforeAutospacing="1" w:after="100" w:afterAutospacing="1"/>
              <w:contextualSpacing/>
              <w:jc w:val="left"/>
              <w:rPr>
                <w:rFonts w:ascii="Times New Roman" w:hAnsi="Times New Roman"/>
                <w:sz w:val="24"/>
                <w:lang w:eastAsia="en-GB"/>
              </w:rPr>
            </w:pPr>
            <w:r w:rsidRPr="00620EA6">
              <w:rPr>
                <w:rFonts w:ascii="Times New Roman" w:hAnsi="Times New Roman"/>
                <w:b/>
                <w:bCs/>
                <w:sz w:val="24"/>
                <w:lang w:eastAsia="en-GB"/>
              </w:rPr>
              <w:t xml:space="preserve">Not Reported to the Competent Authority </w:t>
            </w:r>
            <w:r w:rsidRPr="00620EA6">
              <w:rPr>
                <w:rFonts w:ascii="Times New Roman" w:hAnsi="Times New Roman"/>
                <w:sz w:val="24"/>
                <w:lang w:eastAsia="en-GB"/>
              </w:rPr>
              <w:t>– the attribute applies to that event and has not been reported to the Competent Authority</w:t>
            </w:r>
          </w:p>
          <w:p w14:paraId="0891307A" w14:textId="36C72267" w:rsidR="009E20D4" w:rsidRPr="00620EA6" w:rsidRDefault="009E20D4" w:rsidP="009E20D4">
            <w:pPr>
              <w:pStyle w:val="ListParagraph"/>
              <w:numPr>
                <w:ilvl w:val="0"/>
                <w:numId w:val="41"/>
              </w:numPr>
              <w:spacing w:before="100" w:beforeAutospacing="1" w:after="100" w:afterAutospacing="1"/>
              <w:contextualSpacing/>
              <w:jc w:val="left"/>
              <w:rPr>
                <w:rFonts w:ascii="Times New Roman" w:hAnsi="Times New Roman"/>
                <w:sz w:val="24"/>
              </w:rPr>
            </w:pPr>
            <w:r w:rsidRPr="00620EA6">
              <w:rPr>
                <w:rFonts w:ascii="Times New Roman" w:hAnsi="Times New Roman"/>
                <w:b/>
                <w:bCs/>
                <w:sz w:val="24"/>
                <w:lang w:eastAsia="en-GB"/>
              </w:rPr>
              <w:t xml:space="preserve">N(No) </w:t>
            </w:r>
            <w:r w:rsidRPr="00620EA6">
              <w:rPr>
                <w:rFonts w:ascii="Times New Roman" w:hAnsi="Times New Roman"/>
                <w:sz w:val="24"/>
                <w:lang w:eastAsia="en-GB"/>
              </w:rPr>
              <w:t xml:space="preserve">– the attribute does not apply to that event </w:t>
            </w:r>
          </w:p>
          <w:p w14:paraId="3AC126E3" w14:textId="1031757E" w:rsidR="009E20D4" w:rsidRPr="00620EA6" w:rsidRDefault="009E20D4" w:rsidP="009E20D4">
            <w:pPr>
              <w:rPr>
                <w:rFonts w:ascii="Times New Roman" w:hAnsi="Times New Roman"/>
                <w:sz w:val="24"/>
                <w:lang w:eastAsia="de-DE"/>
              </w:rPr>
            </w:pPr>
            <w:r w:rsidRPr="00620EA6">
              <w:rPr>
                <w:rFonts w:ascii="Times New Roman" w:hAnsi="Times New Roman"/>
                <w:sz w:val="24"/>
              </w:rPr>
              <w:t xml:space="preserve">For the attribute: </w:t>
            </w:r>
            <w:r w:rsidR="003A107C" w:rsidRPr="00620EA6">
              <w:rPr>
                <w:rFonts w:ascii="Times New Roman" w:hAnsi="Times New Roman"/>
                <w:b/>
                <w:bCs/>
                <w:sz w:val="24"/>
                <w:lang w:eastAsia="de-DE"/>
              </w:rPr>
              <w:t>Boundary</w:t>
            </w:r>
            <w:r w:rsidRPr="00620EA6">
              <w:rPr>
                <w:rFonts w:ascii="Times New Roman" w:hAnsi="Times New Roman"/>
                <w:sz w:val="24"/>
                <w:lang w:eastAsia="de-DE"/>
              </w:rPr>
              <w:t xml:space="preserve">, </w:t>
            </w:r>
            <w:r w:rsidR="00E132C3" w:rsidRPr="00620EA6">
              <w:rPr>
                <w:rFonts w:ascii="Times New Roman" w:hAnsi="Times New Roman"/>
                <w:sz w:val="24"/>
              </w:rPr>
              <w:t>the</w:t>
            </w:r>
            <w:r w:rsidR="00E132C3" w:rsidRPr="00620EA6">
              <w:rPr>
                <w:rFonts w:ascii="Times New Roman" w:hAnsi="Times New Roman"/>
                <w:sz w:val="24"/>
                <w:lang w:eastAsia="en-GB"/>
              </w:rPr>
              <w:t xml:space="preserve"> field shall take </w:t>
            </w:r>
            <w:r w:rsidRPr="00620EA6">
              <w:rPr>
                <w:rFonts w:ascii="Times New Roman" w:hAnsi="Times New Roman"/>
                <w:sz w:val="24"/>
                <w:lang w:eastAsia="de-DE"/>
              </w:rPr>
              <w:t>one of the following values:</w:t>
            </w:r>
          </w:p>
          <w:p w14:paraId="1EFD9860" w14:textId="6078AA59" w:rsidR="009E20D4" w:rsidRPr="00620EA6" w:rsidRDefault="003A107C" w:rsidP="009E20D4">
            <w:pPr>
              <w:pStyle w:val="ListParagraph"/>
              <w:numPr>
                <w:ilvl w:val="0"/>
                <w:numId w:val="41"/>
              </w:numPr>
              <w:spacing w:before="100" w:beforeAutospacing="1" w:after="100" w:afterAutospacing="1"/>
              <w:contextualSpacing/>
              <w:jc w:val="left"/>
              <w:rPr>
                <w:rFonts w:ascii="Times New Roman" w:hAnsi="Times New Roman"/>
                <w:sz w:val="24"/>
                <w:lang w:eastAsia="en-GB"/>
              </w:rPr>
            </w:pPr>
            <w:r w:rsidRPr="00620EA6">
              <w:rPr>
                <w:rFonts w:ascii="Times New Roman" w:hAnsi="Times New Roman"/>
                <w:b/>
                <w:bCs/>
                <w:sz w:val="24"/>
                <w:lang w:eastAsia="en-GB"/>
              </w:rPr>
              <w:t>Credit</w:t>
            </w:r>
            <w:r w:rsidR="009E20D4" w:rsidRPr="00620EA6">
              <w:rPr>
                <w:rFonts w:ascii="Times New Roman" w:hAnsi="Times New Roman"/>
                <w:sz w:val="24"/>
                <w:lang w:eastAsia="en-GB"/>
              </w:rPr>
              <w:t xml:space="preserve">– the attribute applies to that event and has been </w:t>
            </w:r>
            <w:r w:rsidRPr="00620EA6">
              <w:rPr>
                <w:rFonts w:ascii="Times New Roman" w:hAnsi="Times New Roman"/>
                <w:sz w:val="24"/>
                <w:lang w:eastAsia="en-GB"/>
              </w:rPr>
              <w:t>classified as boundary event with credit risk</w:t>
            </w:r>
          </w:p>
          <w:p w14:paraId="01CB606A" w14:textId="2CBD5585" w:rsidR="009E20D4" w:rsidRPr="00620EA6" w:rsidRDefault="0038091A" w:rsidP="009E20D4">
            <w:pPr>
              <w:pStyle w:val="ListParagraph"/>
              <w:numPr>
                <w:ilvl w:val="0"/>
                <w:numId w:val="41"/>
              </w:numPr>
              <w:spacing w:before="100" w:beforeAutospacing="1" w:after="100" w:afterAutospacing="1"/>
              <w:contextualSpacing/>
              <w:jc w:val="left"/>
              <w:rPr>
                <w:rFonts w:ascii="Times New Roman" w:hAnsi="Times New Roman"/>
                <w:sz w:val="24"/>
                <w:lang w:eastAsia="en-GB"/>
              </w:rPr>
            </w:pPr>
            <w:r w:rsidRPr="00620EA6">
              <w:rPr>
                <w:rFonts w:ascii="Times New Roman" w:hAnsi="Times New Roman"/>
                <w:b/>
                <w:bCs/>
                <w:sz w:val="24"/>
                <w:lang w:eastAsia="en-GB"/>
              </w:rPr>
              <w:t>Market</w:t>
            </w:r>
            <w:r w:rsidR="009E20D4" w:rsidRPr="00620EA6">
              <w:rPr>
                <w:rFonts w:ascii="Times New Roman" w:hAnsi="Times New Roman"/>
                <w:b/>
                <w:bCs/>
                <w:sz w:val="24"/>
                <w:lang w:eastAsia="en-GB"/>
              </w:rPr>
              <w:t xml:space="preserve"> </w:t>
            </w:r>
            <w:r w:rsidR="009E20D4" w:rsidRPr="00620EA6">
              <w:rPr>
                <w:rFonts w:ascii="Times New Roman" w:hAnsi="Times New Roman"/>
                <w:sz w:val="24"/>
                <w:lang w:eastAsia="en-GB"/>
              </w:rPr>
              <w:t xml:space="preserve">– the attribute applies to that event and has been </w:t>
            </w:r>
            <w:r w:rsidR="003A107C" w:rsidRPr="00620EA6">
              <w:rPr>
                <w:rFonts w:ascii="Times New Roman" w:hAnsi="Times New Roman"/>
                <w:sz w:val="24"/>
                <w:lang w:eastAsia="en-GB"/>
              </w:rPr>
              <w:t>classified as boundary event with market risk</w:t>
            </w:r>
          </w:p>
          <w:p w14:paraId="3A546D47" w14:textId="295A7CC9" w:rsidR="00E720F8" w:rsidRPr="00620EA6" w:rsidRDefault="009E20D4" w:rsidP="000C47EB">
            <w:pPr>
              <w:pStyle w:val="ListParagraph"/>
              <w:numPr>
                <w:ilvl w:val="0"/>
                <w:numId w:val="41"/>
              </w:numPr>
              <w:spacing w:before="100" w:beforeAutospacing="1" w:after="100" w:afterAutospacing="1"/>
              <w:contextualSpacing/>
              <w:jc w:val="left"/>
              <w:rPr>
                <w:rFonts w:ascii="Times New Roman" w:hAnsi="Times New Roman"/>
                <w:sz w:val="24"/>
              </w:rPr>
            </w:pPr>
            <w:r w:rsidRPr="00620EA6">
              <w:rPr>
                <w:rFonts w:ascii="Times New Roman" w:hAnsi="Times New Roman"/>
                <w:b/>
                <w:bCs/>
                <w:sz w:val="24"/>
                <w:lang w:eastAsia="en-GB"/>
              </w:rPr>
              <w:t xml:space="preserve">N(No) </w:t>
            </w:r>
            <w:r w:rsidRPr="00620EA6">
              <w:rPr>
                <w:rFonts w:ascii="Times New Roman" w:hAnsi="Times New Roman"/>
                <w:sz w:val="24"/>
                <w:lang w:eastAsia="en-GB"/>
              </w:rPr>
              <w:t xml:space="preserve">– the attribute does not apply to that event </w:t>
            </w:r>
          </w:p>
          <w:p w14:paraId="53F11103" w14:textId="06A787C9" w:rsidR="00E720F8" w:rsidRPr="00620EA6" w:rsidRDefault="00E720F8" w:rsidP="000C47EB">
            <w:pPr>
              <w:rPr>
                <w:rStyle w:val="InstructionsTabelleberschrift"/>
                <w:rFonts w:ascii="Times New Roman" w:hAnsi="Times New Roman"/>
                <w:b w:val="0"/>
                <w:bCs w:val="0"/>
                <w:sz w:val="24"/>
              </w:rPr>
            </w:pPr>
            <w:r w:rsidRPr="00620EA6">
              <w:rPr>
                <w:rFonts w:ascii="Times New Roman" w:hAnsi="Times New Roman"/>
                <w:sz w:val="24"/>
              </w:rPr>
              <w:t xml:space="preserve">Institutions shall ensure that the selection of attributes </w:t>
            </w:r>
            <w:r w:rsidR="00D23C8F" w:rsidRPr="00620EA6">
              <w:rPr>
                <w:rFonts w:ascii="Times New Roman" w:hAnsi="Times New Roman"/>
                <w:sz w:val="24"/>
              </w:rPr>
              <w:t>is</w:t>
            </w:r>
            <w:r w:rsidRPr="00620EA6">
              <w:rPr>
                <w:rFonts w:ascii="Times New Roman" w:hAnsi="Times New Roman"/>
                <w:sz w:val="24"/>
              </w:rPr>
              <w:t xml:space="preserve"> consistent with other reporting fields, including Event Status and Pending Losses.</w:t>
            </w:r>
          </w:p>
        </w:tc>
      </w:tr>
      <w:tr w:rsidR="00E720F8" w:rsidRPr="00620EA6" w14:paraId="18639650" w14:textId="77777777" w:rsidTr="00E132C3">
        <w:tc>
          <w:tcPr>
            <w:tcW w:w="1511" w:type="dxa"/>
          </w:tcPr>
          <w:p w14:paraId="73DF19B4" w14:textId="77777777" w:rsidR="00E720F8" w:rsidRPr="00620EA6" w:rsidRDefault="00E720F8" w:rsidP="000C47EB">
            <w:pPr>
              <w:rPr>
                <w:rFonts w:ascii="Times New Roman" w:hAnsi="Times New Roman"/>
                <w:strike/>
                <w:sz w:val="24"/>
                <w:lang w:eastAsia="de-DE"/>
              </w:rPr>
            </w:pPr>
            <w:r w:rsidRPr="00620EA6">
              <w:rPr>
                <w:rFonts w:ascii="Times New Roman" w:hAnsi="Times New Roman"/>
                <w:sz w:val="24"/>
                <w:lang w:eastAsia="de-DE"/>
              </w:rPr>
              <w:lastRenderedPageBreak/>
              <w:t>0150</w:t>
            </w:r>
          </w:p>
        </w:tc>
        <w:tc>
          <w:tcPr>
            <w:tcW w:w="7551" w:type="dxa"/>
          </w:tcPr>
          <w:p w14:paraId="50EA0B5F" w14:textId="77777777" w:rsidR="00E720F8" w:rsidRPr="00620EA6" w:rsidRDefault="00E720F8" w:rsidP="000C47EB">
            <w:pPr>
              <w:rPr>
                <w:rFonts w:ascii="Times New Roman" w:hAnsi="Times New Roman"/>
                <w:b/>
                <w:bCs/>
                <w:sz w:val="24"/>
                <w:u w:val="single"/>
                <w:lang w:eastAsia="de-DE"/>
              </w:rPr>
            </w:pPr>
            <w:r w:rsidRPr="00620EA6">
              <w:rPr>
                <w:rFonts w:ascii="Times New Roman" w:hAnsi="Times New Roman"/>
                <w:b/>
                <w:bCs/>
                <w:sz w:val="24"/>
                <w:u w:val="single"/>
                <w:lang w:eastAsia="de-DE"/>
              </w:rPr>
              <w:t>Business area</w:t>
            </w:r>
          </w:p>
          <w:p w14:paraId="3DC31474" w14:textId="76869213" w:rsidR="00E720F8" w:rsidRPr="00620EA6" w:rsidRDefault="00E720F8" w:rsidP="000C47EB">
            <w:pPr>
              <w:rPr>
                <w:rFonts w:ascii="Times New Roman" w:hAnsi="Times New Roman"/>
                <w:sz w:val="24"/>
                <w:lang w:eastAsia="de-DE"/>
              </w:rPr>
            </w:pPr>
            <w:r w:rsidRPr="00620EA6">
              <w:rPr>
                <w:rFonts w:ascii="Times New Roman" w:hAnsi="Times New Roman"/>
                <w:sz w:val="24"/>
                <w:lang w:eastAsia="de-DE"/>
              </w:rPr>
              <w:t>Institutions shall indicate the affected business area, using the below drop-down list</w:t>
            </w:r>
            <w:r w:rsidR="00E349F5" w:rsidRPr="00620EA6">
              <w:rPr>
                <w:rFonts w:ascii="Times New Roman" w:hAnsi="Times New Roman"/>
                <w:sz w:val="24"/>
                <w:lang w:eastAsia="de-DE"/>
              </w:rPr>
              <w:t>:</w:t>
            </w:r>
          </w:p>
          <w:p w14:paraId="7FF470EA" w14:textId="77777777" w:rsidR="00E720F8" w:rsidRPr="00620EA6" w:rsidRDefault="00E720F8" w:rsidP="00E720F8">
            <w:pPr>
              <w:pStyle w:val="ListParagraph"/>
              <w:numPr>
                <w:ilvl w:val="0"/>
                <w:numId w:val="33"/>
              </w:numPr>
              <w:rPr>
                <w:rFonts w:ascii="Times New Roman" w:hAnsi="Times New Roman"/>
                <w:sz w:val="24"/>
                <w:lang w:eastAsia="de-DE"/>
              </w:rPr>
            </w:pPr>
            <w:r w:rsidRPr="00620EA6">
              <w:rPr>
                <w:rFonts w:ascii="Times New Roman" w:hAnsi="Times New Roman"/>
                <w:sz w:val="24"/>
                <w:lang w:eastAsia="de-DE"/>
              </w:rPr>
              <w:t>“Retail”</w:t>
            </w:r>
          </w:p>
          <w:p w14:paraId="5F9CCBD9" w14:textId="77777777" w:rsidR="00E720F8" w:rsidRPr="00620EA6" w:rsidRDefault="00E720F8" w:rsidP="00E720F8">
            <w:pPr>
              <w:pStyle w:val="ListParagraph"/>
              <w:numPr>
                <w:ilvl w:val="0"/>
                <w:numId w:val="33"/>
              </w:numPr>
              <w:rPr>
                <w:rFonts w:ascii="Times New Roman" w:hAnsi="Times New Roman"/>
                <w:sz w:val="24"/>
                <w:lang w:eastAsia="de-DE"/>
              </w:rPr>
            </w:pPr>
            <w:r w:rsidRPr="00620EA6">
              <w:rPr>
                <w:rFonts w:ascii="Times New Roman" w:hAnsi="Times New Roman"/>
                <w:sz w:val="24"/>
                <w:lang w:eastAsia="de-DE"/>
              </w:rPr>
              <w:t>“Trading and sales”</w:t>
            </w:r>
          </w:p>
          <w:p w14:paraId="1D453401" w14:textId="77777777" w:rsidR="00E720F8" w:rsidRPr="00620EA6" w:rsidRDefault="00E720F8" w:rsidP="00E720F8">
            <w:pPr>
              <w:pStyle w:val="ListParagraph"/>
              <w:numPr>
                <w:ilvl w:val="0"/>
                <w:numId w:val="33"/>
              </w:numPr>
              <w:rPr>
                <w:rFonts w:ascii="Times New Roman" w:hAnsi="Times New Roman"/>
                <w:sz w:val="24"/>
                <w:lang w:eastAsia="de-DE"/>
              </w:rPr>
            </w:pPr>
            <w:r w:rsidRPr="00620EA6">
              <w:rPr>
                <w:rFonts w:ascii="Times New Roman" w:hAnsi="Times New Roman"/>
                <w:sz w:val="24"/>
                <w:lang w:eastAsia="de-DE"/>
              </w:rPr>
              <w:t>“Commercial banking”</w:t>
            </w:r>
          </w:p>
          <w:p w14:paraId="01FF8838" w14:textId="77777777" w:rsidR="00E720F8" w:rsidRPr="00620EA6" w:rsidRDefault="00E720F8" w:rsidP="00E132C3">
            <w:pPr>
              <w:pStyle w:val="ListParagraph"/>
              <w:numPr>
                <w:ilvl w:val="0"/>
                <w:numId w:val="33"/>
              </w:numPr>
              <w:rPr>
                <w:rFonts w:ascii="Times New Roman" w:hAnsi="Times New Roman"/>
                <w:sz w:val="24"/>
                <w:lang w:eastAsia="de-DE"/>
              </w:rPr>
            </w:pPr>
            <w:r w:rsidRPr="00620EA6">
              <w:rPr>
                <w:rFonts w:ascii="Times New Roman" w:hAnsi="Times New Roman"/>
                <w:sz w:val="24"/>
                <w:lang w:eastAsia="de-DE"/>
              </w:rPr>
              <w:t>“Other business lines”</w:t>
            </w:r>
          </w:p>
          <w:p w14:paraId="77FD2FA4" w14:textId="00213C87" w:rsidR="00D565B1" w:rsidRPr="00620EA6" w:rsidRDefault="00D565B1" w:rsidP="00D565B1">
            <w:pPr>
              <w:rPr>
                <w:rStyle w:val="InstructionsTabelleberschrift"/>
                <w:rFonts w:ascii="Times New Roman" w:hAnsi="Times New Roman"/>
                <w:b w:val="0"/>
                <w:bCs w:val="0"/>
                <w:sz w:val="24"/>
                <w:u w:val="none"/>
                <w:lang w:eastAsia="de-DE"/>
              </w:rPr>
            </w:pPr>
            <w:r w:rsidRPr="00620EA6">
              <w:rPr>
                <w:rStyle w:val="InstructionsTabelleberschrift"/>
                <w:rFonts w:ascii="Times New Roman" w:hAnsi="Times New Roman"/>
                <w:b w:val="0"/>
                <w:bCs w:val="0"/>
                <w:sz w:val="24"/>
                <w:u w:val="none"/>
                <w:lang w:eastAsia="de-DE"/>
              </w:rPr>
              <w:t>If the event affects multiple business lines, institutions shall report the event separately for each affected business line, clearly specifying the gross loss amount associated with each business line, using the same Event ID to ensure consistency in reporting.</w:t>
            </w:r>
          </w:p>
          <w:p w14:paraId="6D05F3B7" w14:textId="73D257B1" w:rsidR="00B220B6" w:rsidRPr="00620EA6" w:rsidRDefault="00D565B1" w:rsidP="00D565B1">
            <w:pPr>
              <w:rPr>
                <w:rStyle w:val="InstructionsTabelleberschrift"/>
                <w:rFonts w:ascii="Times New Roman" w:hAnsi="Times New Roman"/>
                <w:b w:val="0"/>
                <w:bCs w:val="0"/>
                <w:sz w:val="24"/>
                <w:u w:val="none"/>
                <w:lang w:eastAsia="de-DE"/>
              </w:rPr>
            </w:pPr>
            <w:r w:rsidRPr="00620EA6">
              <w:rPr>
                <w:rStyle w:val="InstructionsTabelleberschrift"/>
                <w:rFonts w:ascii="Times New Roman" w:hAnsi="Times New Roman"/>
                <w:b w:val="0"/>
                <w:bCs w:val="0"/>
                <w:sz w:val="24"/>
                <w:u w:val="none"/>
                <w:lang w:eastAsia="de-DE"/>
              </w:rPr>
              <w:t xml:space="preserve">Institution shall ensure that the amounts reported for each business line do not result in double counting of the total gross loss amount. </w:t>
            </w:r>
          </w:p>
        </w:tc>
      </w:tr>
      <w:tr w:rsidR="00E720F8" w:rsidRPr="00620EA6" w14:paraId="3967F120" w14:textId="77777777" w:rsidTr="00E132C3">
        <w:tc>
          <w:tcPr>
            <w:tcW w:w="1511" w:type="dxa"/>
          </w:tcPr>
          <w:p w14:paraId="3F8A4504" w14:textId="77777777" w:rsidR="00E720F8" w:rsidRPr="00620EA6" w:rsidRDefault="00E720F8" w:rsidP="000C47EB">
            <w:pPr>
              <w:rPr>
                <w:rFonts w:ascii="Times New Roman" w:hAnsi="Times New Roman"/>
                <w:sz w:val="24"/>
                <w:lang w:eastAsia="de-DE"/>
              </w:rPr>
            </w:pPr>
            <w:r w:rsidRPr="00620EA6">
              <w:rPr>
                <w:rFonts w:ascii="Times New Roman" w:hAnsi="Times New Roman"/>
                <w:sz w:val="24"/>
                <w:lang w:eastAsia="de-DE"/>
              </w:rPr>
              <w:t>0160</w:t>
            </w:r>
          </w:p>
        </w:tc>
        <w:tc>
          <w:tcPr>
            <w:tcW w:w="7551" w:type="dxa"/>
          </w:tcPr>
          <w:p w14:paraId="36868F02" w14:textId="77777777" w:rsidR="00E720F8" w:rsidRPr="00620EA6" w:rsidRDefault="00E720F8" w:rsidP="000C47EB">
            <w:pPr>
              <w:rPr>
                <w:rStyle w:val="InstructionsTabelleberschrift"/>
                <w:rFonts w:ascii="Times New Roman" w:hAnsi="Times New Roman"/>
                <w:sz w:val="24"/>
              </w:rPr>
            </w:pPr>
            <w:r w:rsidRPr="00620EA6">
              <w:rPr>
                <w:rStyle w:val="InstructionsTabelleberschrift"/>
                <w:rFonts w:ascii="Times New Roman" w:hAnsi="Times New Roman"/>
                <w:sz w:val="24"/>
              </w:rPr>
              <w:t>Code</w:t>
            </w:r>
          </w:p>
          <w:p w14:paraId="6329106C" w14:textId="4BF7E4CC" w:rsidR="00E720F8" w:rsidRPr="00620EA6" w:rsidRDefault="00E720F8" w:rsidP="000C47EB">
            <w:pPr>
              <w:rPr>
                <w:rFonts w:ascii="Times New Roman" w:hAnsi="Times New Roman"/>
                <w:sz w:val="24"/>
                <w:lang w:eastAsia="de-DE"/>
              </w:rPr>
            </w:pPr>
            <w:r w:rsidRPr="00620EA6">
              <w:rPr>
                <w:rFonts w:ascii="Times New Roman" w:hAnsi="Times New Roman"/>
                <w:sz w:val="24"/>
                <w:lang w:eastAsia="de-DE"/>
              </w:rPr>
              <w:t>Code of the legal entity where the loss (</w:t>
            </w:r>
            <w:r w:rsidR="007D4E75" w:rsidRPr="00620EA6">
              <w:rPr>
                <w:rFonts w:ascii="Times New Roman" w:hAnsi="Times New Roman"/>
                <w:sz w:val="24"/>
                <w:lang w:eastAsia="de-DE"/>
              </w:rPr>
              <w:t xml:space="preserve">column </w:t>
            </w:r>
            <w:r w:rsidRPr="00620EA6">
              <w:rPr>
                <w:rFonts w:ascii="Times New Roman" w:hAnsi="Times New Roman"/>
                <w:sz w:val="24"/>
                <w:lang w:eastAsia="de-DE"/>
              </w:rPr>
              <w:t>0120) occurred.</w:t>
            </w:r>
          </w:p>
        </w:tc>
      </w:tr>
    </w:tbl>
    <w:p w14:paraId="1FA6C629" w14:textId="77777777" w:rsidR="00FD54FC" w:rsidRPr="00620EA6" w:rsidRDefault="00FD54FC" w:rsidP="00AC6255">
      <w:pPr>
        <w:spacing w:after="0"/>
        <w:rPr>
          <w:rFonts w:ascii="Times New Roman" w:hAnsi="Times New Roman"/>
          <w:sz w:val="24"/>
        </w:rPr>
      </w:pPr>
    </w:p>
    <w:p w14:paraId="7D7A89B1" w14:textId="4FB0A9A8" w:rsidR="00D563FA" w:rsidRPr="00620EA6" w:rsidRDefault="00D563FA" w:rsidP="00D563FA">
      <w:pPr>
        <w:pStyle w:val="Instructionsberschrift2"/>
        <w:numPr>
          <w:ilvl w:val="0"/>
          <w:numId w:val="0"/>
        </w:numPr>
        <w:ind w:left="357" w:hanging="357"/>
        <w:rPr>
          <w:rFonts w:ascii="Times New Roman" w:hAnsi="Times New Roman" w:cs="Times New Roman"/>
          <w:sz w:val="24"/>
          <w:u w:val="none"/>
          <w:lang w:val="en-GB"/>
        </w:rPr>
      </w:pPr>
      <w:r w:rsidRPr="00620EA6">
        <w:rPr>
          <w:rFonts w:ascii="Times New Roman" w:hAnsi="Times New Roman" w:cs="Times New Roman"/>
          <w:sz w:val="24"/>
          <w:u w:val="none"/>
          <w:lang w:val="en-GB"/>
        </w:rPr>
        <w:t>4.2.4.</w:t>
      </w:r>
      <w:r w:rsidRPr="00620EA6">
        <w:rPr>
          <w:rFonts w:ascii="Times New Roman" w:hAnsi="Times New Roman" w:cs="Times New Roman"/>
          <w:sz w:val="24"/>
          <w:u w:val="none"/>
          <w:lang w:val="en-GB"/>
        </w:rPr>
        <w:tab/>
      </w:r>
      <w:r w:rsidR="00D66381" w:rsidRPr="00620EA6">
        <w:rPr>
          <w:rFonts w:ascii="Times New Roman" w:hAnsi="Times New Roman" w:cs="Times New Roman"/>
          <w:sz w:val="24"/>
          <w:u w:val="none"/>
          <w:lang w:val="en-GB"/>
        </w:rPr>
        <w:t>C 17.02: OPERATIONAL RISK: ONE-OFF AGGREGATED TEMPLATE LOSSES BY LEVEL 1 EVENT TYPES</w:t>
      </w:r>
    </w:p>
    <w:p w14:paraId="61014B5A" w14:textId="406AB8FA" w:rsidR="00D563FA" w:rsidRPr="00620EA6" w:rsidRDefault="00D563FA" w:rsidP="00D563FA">
      <w:pPr>
        <w:pStyle w:val="Instructionsberschrift2"/>
        <w:numPr>
          <w:ilvl w:val="0"/>
          <w:numId w:val="0"/>
        </w:numPr>
        <w:ind w:left="357" w:hanging="357"/>
        <w:rPr>
          <w:rFonts w:ascii="Times New Roman" w:hAnsi="Times New Roman" w:cs="Times New Roman"/>
          <w:sz w:val="24"/>
          <w:lang w:val="en-GB"/>
        </w:rPr>
      </w:pPr>
      <w:r w:rsidRPr="00620EA6">
        <w:rPr>
          <w:rFonts w:ascii="Times New Roman" w:hAnsi="Times New Roman" w:cs="Times New Roman"/>
          <w:sz w:val="24"/>
          <w:u w:val="none"/>
          <w:lang w:val="en-GB"/>
        </w:rPr>
        <w:t>4.2.4.1.</w:t>
      </w:r>
      <w:r w:rsidRPr="00620EA6">
        <w:rPr>
          <w:rFonts w:ascii="Times New Roman" w:hAnsi="Times New Roman" w:cs="Times New Roman"/>
          <w:sz w:val="24"/>
          <w:u w:val="none"/>
          <w:lang w:val="en-GB"/>
        </w:rPr>
        <w:tab/>
      </w:r>
      <w:r w:rsidRPr="00620EA6">
        <w:rPr>
          <w:rFonts w:ascii="Times New Roman" w:hAnsi="Times New Roman" w:cs="Times New Roman"/>
          <w:sz w:val="24"/>
          <w:lang w:val="en-GB"/>
        </w:rPr>
        <w:t>General Remarks</w:t>
      </w:r>
    </w:p>
    <w:p w14:paraId="044A4A1F" w14:textId="49C57761" w:rsidR="006616E2" w:rsidRPr="00620EA6" w:rsidRDefault="007621FD" w:rsidP="006616E2">
      <w:pPr>
        <w:pStyle w:val="InstructionsText2"/>
        <w:numPr>
          <w:ilvl w:val="0"/>
          <w:numId w:val="0"/>
        </w:numPr>
        <w:rPr>
          <w:noProof/>
        </w:rPr>
      </w:pPr>
      <w:r w:rsidRPr="00620EA6">
        <w:rPr>
          <w:noProof/>
        </w:rPr>
        <w:t>158</w:t>
      </w:r>
      <w:r w:rsidR="006616E2" w:rsidRPr="00620EA6">
        <w:rPr>
          <w:noProof/>
        </w:rPr>
        <w:t>. In template C 17.0</w:t>
      </w:r>
      <w:r w:rsidR="00887540" w:rsidRPr="00620EA6">
        <w:rPr>
          <w:noProof/>
        </w:rPr>
        <w:t>2</w:t>
      </w:r>
      <w:r w:rsidR="006616E2" w:rsidRPr="00620EA6">
        <w:rPr>
          <w:noProof/>
        </w:rPr>
        <w:t xml:space="preserve">, information on </w:t>
      </w:r>
      <w:r w:rsidR="00836202" w:rsidRPr="00620EA6">
        <w:rPr>
          <w:noProof/>
        </w:rPr>
        <w:t xml:space="preserve">the annual operational risk losses incurred over the past 10 </w:t>
      </w:r>
      <w:r w:rsidR="00FE4F39" w:rsidRPr="00620EA6">
        <w:rPr>
          <w:noProof/>
        </w:rPr>
        <w:t xml:space="preserve">financial </w:t>
      </w:r>
      <w:r w:rsidR="00836202" w:rsidRPr="00620EA6">
        <w:rPr>
          <w:noProof/>
        </w:rPr>
        <w:t xml:space="preserve">years, based on the accounting date of the incurred losses, </w:t>
      </w:r>
      <w:r w:rsidR="006616E2" w:rsidRPr="00620EA6">
        <w:rPr>
          <w:noProof/>
        </w:rPr>
        <w:t>shall be provided</w:t>
      </w:r>
      <w:r w:rsidR="00110BD3" w:rsidRPr="00620EA6">
        <w:rPr>
          <w:noProof/>
        </w:rPr>
        <w:t xml:space="preserve"> by their level 1 </w:t>
      </w:r>
      <w:r w:rsidR="00AD44C5" w:rsidRPr="00620EA6">
        <w:rPr>
          <w:noProof/>
        </w:rPr>
        <w:t>E</w:t>
      </w:r>
      <w:r w:rsidR="00110BD3" w:rsidRPr="00620EA6">
        <w:rPr>
          <w:noProof/>
        </w:rPr>
        <w:t xml:space="preserve">vent </w:t>
      </w:r>
      <w:r w:rsidR="00AD44C5" w:rsidRPr="00620EA6">
        <w:rPr>
          <w:noProof/>
        </w:rPr>
        <w:t>T</w:t>
      </w:r>
      <w:r w:rsidR="00110BD3" w:rsidRPr="00620EA6">
        <w:rPr>
          <w:noProof/>
        </w:rPr>
        <w:t>ypes</w:t>
      </w:r>
      <w:r w:rsidR="006616E2" w:rsidRPr="00620EA6">
        <w:rPr>
          <w:noProof/>
        </w:rPr>
        <w:t>.</w:t>
      </w:r>
    </w:p>
    <w:p w14:paraId="7A8CFD29" w14:textId="655F0382" w:rsidR="0011632F" w:rsidRPr="00620EA6" w:rsidRDefault="0011632F" w:rsidP="006616E2">
      <w:pPr>
        <w:pStyle w:val="InstructionsText2"/>
        <w:numPr>
          <w:ilvl w:val="0"/>
          <w:numId w:val="0"/>
        </w:numPr>
        <w:rPr>
          <w:bCs/>
          <w:noProof/>
        </w:rPr>
      </w:pPr>
      <w:r w:rsidRPr="00620EA6">
        <w:rPr>
          <w:noProof/>
        </w:rPr>
        <w:lastRenderedPageBreak/>
        <w:t xml:space="preserve">159. </w:t>
      </w:r>
      <w:r w:rsidRPr="00620EA6">
        <w:rPr>
          <w:bCs/>
          <w:noProof/>
        </w:rPr>
        <w:t>Institutions shall report,</w:t>
      </w:r>
      <w:r w:rsidR="00BE0BDD" w:rsidRPr="00620EA6">
        <w:rPr>
          <w:bCs/>
          <w:noProof/>
        </w:rPr>
        <w:t xml:space="preserve"> for each level 1 Event Type and </w:t>
      </w:r>
      <w:r w:rsidRPr="00620EA6">
        <w:rPr>
          <w:bCs/>
          <w:noProof/>
        </w:rPr>
        <w:t xml:space="preserve">for each of the last 10 </w:t>
      </w:r>
      <w:r w:rsidR="00FE4F39" w:rsidRPr="00620EA6">
        <w:rPr>
          <w:bCs/>
          <w:noProof/>
        </w:rPr>
        <w:t xml:space="preserve">financial </w:t>
      </w:r>
      <w:r w:rsidRPr="00620EA6">
        <w:rPr>
          <w:bCs/>
          <w:noProof/>
        </w:rPr>
        <w:t>years</w:t>
      </w:r>
      <w:r w:rsidR="00BE0BDD" w:rsidRPr="00620EA6">
        <w:rPr>
          <w:bCs/>
          <w:noProof/>
        </w:rPr>
        <w:t xml:space="preserve">, </w:t>
      </w:r>
      <w:r w:rsidRPr="00620EA6">
        <w:rPr>
          <w:bCs/>
          <w:noProof/>
        </w:rPr>
        <w:t xml:space="preserve">data on </w:t>
      </w:r>
      <w:r w:rsidR="00887540" w:rsidRPr="00620EA6">
        <w:rPr>
          <w:rStyle w:val="InstructionsTabelleText"/>
          <w:rFonts w:ascii="Times New Roman" w:hAnsi="Times New Roman"/>
          <w:sz w:val="24"/>
        </w:rPr>
        <w:t>the total ‘number of</w:t>
      </w:r>
      <w:r w:rsidR="000611C6" w:rsidRPr="00620EA6">
        <w:rPr>
          <w:rStyle w:val="InstructionsTabelleText"/>
          <w:rFonts w:ascii="Times New Roman" w:hAnsi="Times New Roman"/>
          <w:sz w:val="24"/>
        </w:rPr>
        <w:t xml:space="preserve"> loss </w:t>
      </w:r>
      <w:r w:rsidR="00887540" w:rsidRPr="00620EA6">
        <w:rPr>
          <w:rStyle w:val="InstructionsTabelleText"/>
          <w:rFonts w:ascii="Times New Roman" w:hAnsi="Times New Roman"/>
          <w:sz w:val="24"/>
        </w:rPr>
        <w:t>events (new</w:t>
      </w:r>
      <w:r w:rsidR="000611C6" w:rsidRPr="00620EA6">
        <w:rPr>
          <w:rStyle w:val="InstructionsTabelleText"/>
          <w:rFonts w:ascii="Times New Roman" w:hAnsi="Times New Roman"/>
          <w:sz w:val="24"/>
        </w:rPr>
        <w:t xml:space="preserve"> loss</w:t>
      </w:r>
      <w:r w:rsidR="00887540" w:rsidRPr="00620EA6">
        <w:rPr>
          <w:rStyle w:val="InstructionsTabelleText"/>
          <w:rFonts w:ascii="Times New Roman" w:hAnsi="Times New Roman"/>
          <w:sz w:val="24"/>
        </w:rPr>
        <w:t xml:space="preserve"> events)’, the total of ‘gross loss amount (new </w:t>
      </w:r>
      <w:r w:rsidR="000611C6" w:rsidRPr="00620EA6">
        <w:rPr>
          <w:rStyle w:val="InstructionsTabelleText"/>
          <w:rFonts w:ascii="Times New Roman" w:hAnsi="Times New Roman"/>
          <w:sz w:val="24"/>
        </w:rPr>
        <w:t xml:space="preserve">loss </w:t>
      </w:r>
      <w:r w:rsidR="00887540" w:rsidRPr="00620EA6">
        <w:rPr>
          <w:rStyle w:val="InstructionsTabelleText"/>
          <w:rFonts w:ascii="Times New Roman" w:hAnsi="Times New Roman"/>
          <w:sz w:val="24"/>
        </w:rPr>
        <w:t>events)’, the total ‘number of loss events subject to loss adjustments’, the total of ‘loss adjustments relating to previous reporting periods’, the ‘maximum single loss’, the total of ‘total direct loss recovery’</w:t>
      </w:r>
      <w:r w:rsidR="00BE0BDD" w:rsidRPr="00620EA6">
        <w:rPr>
          <w:rStyle w:val="InstructionsTabelleText"/>
          <w:rFonts w:ascii="Times New Roman" w:hAnsi="Times New Roman"/>
          <w:sz w:val="24"/>
        </w:rPr>
        <w:t xml:space="preserve">, </w:t>
      </w:r>
      <w:r w:rsidR="00887540" w:rsidRPr="00620EA6">
        <w:rPr>
          <w:rStyle w:val="InstructionsTabelleText"/>
          <w:rFonts w:ascii="Times New Roman" w:hAnsi="Times New Roman"/>
          <w:sz w:val="24"/>
        </w:rPr>
        <w:t>the ‘total recovery from insurance’</w:t>
      </w:r>
      <w:r w:rsidR="00BE0BDD" w:rsidRPr="00620EA6">
        <w:rPr>
          <w:rStyle w:val="InstructionsTabelleText"/>
          <w:rFonts w:ascii="Times New Roman" w:hAnsi="Times New Roman"/>
          <w:sz w:val="24"/>
        </w:rPr>
        <w:t>, “the total net loss amount” and “the total amount of pending losses”</w:t>
      </w:r>
      <w:r w:rsidRPr="00620EA6">
        <w:rPr>
          <w:bCs/>
          <w:noProof/>
        </w:rPr>
        <w:t xml:space="preserve">. The total annual amount of operational risk losses shall be calculated as the sum of all </w:t>
      </w:r>
      <w:r w:rsidR="00BE0BDD" w:rsidRPr="00620EA6">
        <w:rPr>
          <w:bCs/>
          <w:noProof/>
        </w:rPr>
        <w:t xml:space="preserve">the </w:t>
      </w:r>
      <w:r w:rsidRPr="00620EA6">
        <w:rPr>
          <w:bCs/>
          <w:noProof/>
        </w:rPr>
        <w:t>losses over a given financial year, calculated in accordance with Article</w:t>
      </w:r>
      <w:r w:rsidR="00AD44C5" w:rsidRPr="00620EA6">
        <w:rPr>
          <w:bCs/>
          <w:noProof/>
        </w:rPr>
        <w:t>s 317 and</w:t>
      </w:r>
      <w:r w:rsidRPr="00620EA6">
        <w:rPr>
          <w:bCs/>
          <w:noProof/>
        </w:rPr>
        <w:t xml:space="preserve"> 318 of Regulation (EU) 575/2013, that are equal or exceed the loss data thresholds set out in Article 319 (1) or (2), respectively of that Regulation (that is EUR</w:t>
      </w:r>
      <w:r w:rsidR="00AD44C5" w:rsidRPr="00620EA6">
        <w:rPr>
          <w:bCs/>
          <w:noProof/>
        </w:rPr>
        <w:t xml:space="preserve"> </w:t>
      </w:r>
      <w:r w:rsidRPr="00620EA6">
        <w:rPr>
          <w:bCs/>
          <w:noProof/>
        </w:rPr>
        <w:t>20,000 and EUR</w:t>
      </w:r>
      <w:r w:rsidR="00AD44C5" w:rsidRPr="00620EA6">
        <w:rPr>
          <w:bCs/>
          <w:noProof/>
        </w:rPr>
        <w:t xml:space="preserve"> </w:t>
      </w:r>
      <w:r w:rsidRPr="00620EA6">
        <w:rPr>
          <w:bCs/>
          <w:noProof/>
        </w:rPr>
        <w:t>100,000)</w:t>
      </w:r>
      <w:r w:rsidR="00110BD3" w:rsidRPr="00620EA6">
        <w:rPr>
          <w:bCs/>
          <w:noProof/>
        </w:rPr>
        <w:t xml:space="preserve">. </w:t>
      </w:r>
    </w:p>
    <w:p w14:paraId="1ECB4618" w14:textId="45A6ABC6" w:rsidR="00BE0BDD" w:rsidRPr="00620EA6" w:rsidRDefault="00BE0BDD" w:rsidP="006616E2">
      <w:pPr>
        <w:pStyle w:val="InstructionsText2"/>
        <w:numPr>
          <w:ilvl w:val="0"/>
          <w:numId w:val="0"/>
        </w:numPr>
        <w:rPr>
          <w:noProof/>
        </w:rPr>
      </w:pPr>
      <w:r w:rsidRPr="00620EA6">
        <w:rPr>
          <w:noProof/>
        </w:rPr>
        <w:t xml:space="preserve">160. Institutions shall also report, for the total Event Types, </w:t>
      </w:r>
      <w:r w:rsidR="000D4B80" w:rsidRPr="00620EA6">
        <w:rPr>
          <w:noProof/>
        </w:rPr>
        <w:t xml:space="preserve">the total number and total </w:t>
      </w:r>
      <w:r w:rsidR="007D4E75" w:rsidRPr="00620EA6">
        <w:rPr>
          <w:noProof/>
        </w:rPr>
        <w:t xml:space="preserve">loss </w:t>
      </w:r>
      <w:r w:rsidR="000D4B80" w:rsidRPr="00620EA6">
        <w:rPr>
          <w:noProof/>
        </w:rPr>
        <w:t xml:space="preserve">amount of </w:t>
      </w:r>
      <w:r w:rsidR="001C457C" w:rsidRPr="00620EA6">
        <w:rPr>
          <w:noProof/>
        </w:rPr>
        <w:t xml:space="preserve">exceptional operational risk </w:t>
      </w:r>
      <w:r w:rsidR="000D4B80" w:rsidRPr="00620EA6">
        <w:rPr>
          <w:noProof/>
        </w:rPr>
        <w:t xml:space="preserve">events </w:t>
      </w:r>
      <w:r w:rsidRPr="00620EA6">
        <w:rPr>
          <w:noProof/>
        </w:rPr>
        <w:t>above a loss event threshold of EUR</w:t>
      </w:r>
      <w:r w:rsidR="000D4B80" w:rsidRPr="00620EA6">
        <w:rPr>
          <w:noProof/>
        </w:rPr>
        <w:t xml:space="preserve"> </w:t>
      </w:r>
      <w:r w:rsidRPr="00620EA6">
        <w:rPr>
          <w:noProof/>
        </w:rPr>
        <w:t xml:space="preserve">20,000 that were excluded </w:t>
      </w:r>
      <w:r w:rsidR="000D4B80" w:rsidRPr="00620EA6">
        <w:rPr>
          <w:noProof/>
        </w:rPr>
        <w:t xml:space="preserve">from the </w:t>
      </w:r>
      <w:r w:rsidR="007A689E" w:rsidRPr="00620EA6">
        <w:rPr>
          <w:noProof/>
        </w:rPr>
        <w:t xml:space="preserve">calculation of the </w:t>
      </w:r>
      <w:r w:rsidR="000D4B80" w:rsidRPr="00620EA6">
        <w:rPr>
          <w:noProof/>
        </w:rPr>
        <w:t>annual operational risk loss</w:t>
      </w:r>
      <w:r w:rsidR="007A689E" w:rsidRPr="00620EA6">
        <w:rPr>
          <w:noProof/>
        </w:rPr>
        <w:t>,</w:t>
      </w:r>
      <w:r w:rsidR="000D4B80" w:rsidRPr="00620EA6">
        <w:rPr>
          <w:noProof/>
        </w:rPr>
        <w:t xml:space="preserve"> in accordance</w:t>
      </w:r>
      <w:r w:rsidRPr="00620EA6">
        <w:rPr>
          <w:noProof/>
        </w:rPr>
        <w:t xml:space="preserve"> with Article 320(1) of Regulation (EU) 575/2013 for each of the last 10 </w:t>
      </w:r>
      <w:r w:rsidR="001C457C" w:rsidRPr="00620EA6">
        <w:rPr>
          <w:noProof/>
        </w:rPr>
        <w:t>financial years</w:t>
      </w:r>
      <w:r w:rsidRPr="00620EA6">
        <w:rPr>
          <w:noProof/>
        </w:rPr>
        <w:t>.</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8111"/>
      </w:tblGrid>
      <w:tr w:rsidR="0011632F" w:rsidRPr="00620EA6" w14:paraId="0EE7F020" w14:textId="77777777" w:rsidTr="00F1759C">
        <w:tc>
          <w:tcPr>
            <w:tcW w:w="9062" w:type="dxa"/>
            <w:gridSpan w:val="2"/>
            <w:shd w:val="clear" w:color="auto" w:fill="BFBFBF"/>
          </w:tcPr>
          <w:p w14:paraId="21171E09" w14:textId="77777777" w:rsidR="0011632F" w:rsidRPr="00620EA6" w:rsidRDefault="0011632F" w:rsidP="00F1759C">
            <w:pPr>
              <w:rPr>
                <w:rFonts w:ascii="Times New Roman" w:hAnsi="Times New Roman"/>
                <w:sz w:val="24"/>
              </w:rPr>
            </w:pPr>
            <w:r w:rsidRPr="00620EA6">
              <w:rPr>
                <w:rFonts w:ascii="Times New Roman" w:hAnsi="Times New Roman"/>
                <w:b/>
                <w:bCs/>
                <w:sz w:val="24"/>
                <w:lang w:eastAsia="nl-BE"/>
              </w:rPr>
              <w:t>Columns</w:t>
            </w:r>
          </w:p>
        </w:tc>
      </w:tr>
      <w:tr w:rsidR="0011632F" w:rsidRPr="00620EA6" w14:paraId="73BFA1E2" w14:textId="77777777" w:rsidTr="00F1759C">
        <w:tc>
          <w:tcPr>
            <w:tcW w:w="951" w:type="dxa"/>
          </w:tcPr>
          <w:p w14:paraId="72F3BF95" w14:textId="3EA5E222" w:rsidR="0011632F" w:rsidRPr="00620EA6" w:rsidRDefault="0011632F" w:rsidP="00F1759C">
            <w:pPr>
              <w:rPr>
                <w:rFonts w:ascii="Times New Roman" w:hAnsi="Times New Roman"/>
                <w:sz w:val="24"/>
                <w:lang w:eastAsia="de-DE"/>
              </w:rPr>
            </w:pPr>
            <w:r w:rsidRPr="00620EA6">
              <w:rPr>
                <w:rFonts w:ascii="Times New Roman" w:hAnsi="Times New Roman"/>
                <w:sz w:val="24"/>
                <w:lang w:eastAsia="de-DE"/>
              </w:rPr>
              <w:t>0010 - 0100</w:t>
            </w:r>
          </w:p>
        </w:tc>
        <w:tc>
          <w:tcPr>
            <w:tcW w:w="8111" w:type="dxa"/>
          </w:tcPr>
          <w:p w14:paraId="068A5B95" w14:textId="77777777" w:rsidR="0011632F" w:rsidRPr="00C27728" w:rsidRDefault="0011632F" w:rsidP="000E4236">
            <w:pPr>
              <w:rPr>
                <w:rStyle w:val="InstructionsTabelleberschrift"/>
                <w:rFonts w:ascii="Times New Roman" w:hAnsi="Times New Roman"/>
                <w:sz w:val="24"/>
                <w:u w:val="none"/>
              </w:rPr>
            </w:pPr>
            <w:r w:rsidRPr="00620EA6">
              <w:rPr>
                <w:rStyle w:val="InstructionsTabelleberschrift"/>
                <w:rFonts w:ascii="Times New Roman" w:hAnsi="Times New Roman"/>
                <w:sz w:val="24"/>
                <w:u w:val="none"/>
              </w:rPr>
              <w:t>Year (T, T-1, T-2, T-3, T-4, T-5, T-6, T-7, T-8, T-9)</w:t>
            </w:r>
          </w:p>
          <w:p w14:paraId="55C4A375" w14:textId="5411A880" w:rsidR="0011632F" w:rsidRPr="00620EA6" w:rsidRDefault="0011632F" w:rsidP="0011632F">
            <w:pPr>
              <w:rPr>
                <w:rFonts w:ascii="Times New Roman" w:hAnsi="Times New Roman"/>
                <w:sz w:val="24"/>
                <w:lang w:eastAsia="de-DE"/>
              </w:rPr>
            </w:pPr>
            <w:r w:rsidRPr="00620EA6">
              <w:rPr>
                <w:rFonts w:ascii="Times New Roman" w:hAnsi="Times New Roman"/>
                <w:sz w:val="24"/>
              </w:rPr>
              <w:t xml:space="preserve">The value indicated by the corresponding row, for the last 10 financial years. </w:t>
            </w:r>
          </w:p>
        </w:tc>
      </w:tr>
      <w:tr w:rsidR="0011632F" w:rsidRPr="00620EA6" w14:paraId="21B84E78" w14:textId="77777777" w:rsidTr="00F1759C">
        <w:tc>
          <w:tcPr>
            <w:tcW w:w="951" w:type="dxa"/>
          </w:tcPr>
          <w:p w14:paraId="054890CF" w14:textId="2A5B0942" w:rsidR="0011632F" w:rsidRPr="00620EA6" w:rsidRDefault="0011632F" w:rsidP="00F1759C">
            <w:pPr>
              <w:rPr>
                <w:rFonts w:ascii="Times New Roman" w:hAnsi="Times New Roman"/>
                <w:sz w:val="24"/>
                <w:lang w:eastAsia="de-DE"/>
              </w:rPr>
            </w:pPr>
            <w:r w:rsidRPr="00620EA6">
              <w:rPr>
                <w:rFonts w:ascii="Times New Roman" w:hAnsi="Times New Roman"/>
                <w:sz w:val="24"/>
                <w:lang w:eastAsia="de-DE"/>
              </w:rPr>
              <w:t>0110</w:t>
            </w:r>
          </w:p>
        </w:tc>
        <w:tc>
          <w:tcPr>
            <w:tcW w:w="8111" w:type="dxa"/>
          </w:tcPr>
          <w:p w14:paraId="7A8D257C" w14:textId="77777777" w:rsidR="0011632F" w:rsidRPr="00620EA6" w:rsidRDefault="0011632F" w:rsidP="0011632F">
            <w:pPr>
              <w:rPr>
                <w:rStyle w:val="InstructionsTabelleberschrift"/>
                <w:rFonts w:ascii="Times New Roman" w:hAnsi="Times New Roman"/>
                <w:sz w:val="24"/>
              </w:rPr>
            </w:pPr>
            <w:r w:rsidRPr="00620EA6">
              <w:rPr>
                <w:rStyle w:val="InstructionsTabelleberschrift"/>
                <w:rFonts w:ascii="Times New Roman" w:hAnsi="Times New Roman"/>
                <w:sz w:val="24"/>
              </w:rPr>
              <w:t>Ten-year average</w:t>
            </w:r>
          </w:p>
          <w:p w14:paraId="4BE8169C" w14:textId="13E4074D" w:rsidR="0011632F" w:rsidRPr="00620EA6" w:rsidRDefault="0011632F" w:rsidP="00110BD3">
            <w:pPr>
              <w:rPr>
                <w:rStyle w:val="InstructionsTabelleberschrift"/>
                <w:rFonts w:ascii="Times New Roman" w:hAnsi="Times New Roman"/>
                <w:sz w:val="24"/>
                <w:u w:val="none"/>
              </w:rPr>
            </w:pPr>
            <w:r w:rsidRPr="00620EA6">
              <w:rPr>
                <w:rFonts w:ascii="Times New Roman" w:hAnsi="Times New Roman"/>
                <w:sz w:val="24"/>
              </w:rPr>
              <w:t>The average of the values indicated by the corresponding row over the last 10 years.</w:t>
            </w:r>
          </w:p>
        </w:tc>
      </w:tr>
    </w:tbl>
    <w:p w14:paraId="5C0CD8F3" w14:textId="59F5D27A" w:rsidR="00AC6255" w:rsidRPr="00620EA6" w:rsidRDefault="00AC6255">
      <w:pPr>
        <w:spacing w:before="0" w:after="0"/>
        <w:jc w:val="left"/>
        <w:rPr>
          <w:rStyle w:val="InstructionsTabelleText"/>
          <w:rFonts w:ascii="Times New Roman" w:hAnsi="Times New Roman"/>
          <w:sz w:val="24"/>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3"/>
        <w:gridCol w:w="7789"/>
      </w:tblGrid>
      <w:tr w:rsidR="00110BD3" w:rsidRPr="00620EA6" w14:paraId="03AE335C" w14:textId="77777777" w:rsidTr="00F1759C">
        <w:tc>
          <w:tcPr>
            <w:tcW w:w="9062" w:type="dxa"/>
            <w:gridSpan w:val="2"/>
            <w:shd w:val="clear" w:color="auto" w:fill="BFBFBF"/>
          </w:tcPr>
          <w:p w14:paraId="5BAC7FC3" w14:textId="207EF9D6" w:rsidR="00110BD3" w:rsidRPr="00620EA6" w:rsidRDefault="00110BD3" w:rsidP="00F1759C">
            <w:pPr>
              <w:rPr>
                <w:rFonts w:ascii="Times New Roman" w:hAnsi="Times New Roman"/>
                <w:sz w:val="24"/>
              </w:rPr>
            </w:pPr>
            <w:r w:rsidRPr="00620EA6">
              <w:rPr>
                <w:rFonts w:ascii="Times New Roman" w:hAnsi="Times New Roman"/>
                <w:b/>
                <w:bCs/>
                <w:sz w:val="24"/>
                <w:lang w:eastAsia="nl-BE"/>
              </w:rPr>
              <w:t>Rows</w:t>
            </w:r>
          </w:p>
        </w:tc>
      </w:tr>
      <w:tr w:rsidR="00110BD3" w:rsidRPr="00620EA6" w14:paraId="486D0F63" w14:textId="77777777" w:rsidTr="008935EB">
        <w:tc>
          <w:tcPr>
            <w:tcW w:w="1273" w:type="dxa"/>
          </w:tcPr>
          <w:p w14:paraId="49F3070B" w14:textId="77777777" w:rsidR="006F4495" w:rsidRPr="00620EA6" w:rsidRDefault="006F4495" w:rsidP="00F1759C">
            <w:pPr>
              <w:rPr>
                <w:rFonts w:ascii="Times New Roman" w:hAnsi="Times New Roman"/>
                <w:b/>
                <w:bCs/>
                <w:sz w:val="24"/>
                <w:lang w:eastAsia="de-DE"/>
              </w:rPr>
            </w:pPr>
            <w:r w:rsidRPr="00620EA6">
              <w:rPr>
                <w:rFonts w:ascii="Times New Roman" w:hAnsi="Times New Roman"/>
                <w:b/>
                <w:bCs/>
                <w:sz w:val="24"/>
                <w:lang w:eastAsia="de-DE"/>
              </w:rPr>
              <w:t>€20,000</w:t>
            </w:r>
          </w:p>
          <w:p w14:paraId="38C9B693" w14:textId="60B1FA9B" w:rsidR="006F4495" w:rsidRPr="00620EA6" w:rsidRDefault="00110BD3" w:rsidP="00F1759C">
            <w:pPr>
              <w:rPr>
                <w:rFonts w:ascii="Times New Roman" w:hAnsi="Times New Roman"/>
                <w:bCs/>
                <w:sz w:val="24"/>
                <w:lang w:eastAsia="nl-BE"/>
              </w:rPr>
            </w:pPr>
            <w:r w:rsidRPr="00620EA6">
              <w:rPr>
                <w:rFonts w:ascii="Times New Roman" w:hAnsi="Times New Roman"/>
                <w:sz w:val="24"/>
                <w:lang w:eastAsia="de-DE"/>
              </w:rPr>
              <w:t>0</w:t>
            </w:r>
            <w:r w:rsidR="006F4495" w:rsidRPr="00620EA6">
              <w:rPr>
                <w:rFonts w:ascii="Times New Roman" w:hAnsi="Times New Roman"/>
                <w:sz w:val="24"/>
                <w:lang w:eastAsia="de-DE"/>
              </w:rPr>
              <w:t>1</w:t>
            </w:r>
            <w:r w:rsidRPr="00620EA6">
              <w:rPr>
                <w:rFonts w:ascii="Times New Roman" w:hAnsi="Times New Roman"/>
                <w:sz w:val="24"/>
                <w:lang w:eastAsia="de-DE"/>
              </w:rPr>
              <w:t>10</w:t>
            </w:r>
            <w:r w:rsidR="006F4495" w:rsidRPr="00620EA6">
              <w:rPr>
                <w:rFonts w:ascii="Times New Roman" w:hAnsi="Times New Roman"/>
                <w:sz w:val="24"/>
                <w:lang w:eastAsia="de-DE"/>
              </w:rPr>
              <w:t>,</w:t>
            </w:r>
            <w:r w:rsidR="006F4495" w:rsidRPr="00620EA6">
              <w:rPr>
                <w:rFonts w:ascii="Times New Roman" w:hAnsi="Times New Roman"/>
                <w:bCs/>
                <w:sz w:val="24"/>
                <w:lang w:eastAsia="nl-BE"/>
              </w:rPr>
              <w:t xml:space="preserve"> 0210, 0310, 0410, 0510, 0610, 0710, 0810</w:t>
            </w:r>
          </w:p>
          <w:p w14:paraId="2D6DEE4F" w14:textId="759860CB" w:rsidR="006F4495" w:rsidRPr="00620EA6" w:rsidRDefault="006F4495" w:rsidP="006F4495">
            <w:pPr>
              <w:rPr>
                <w:rFonts w:ascii="Times New Roman" w:hAnsi="Times New Roman"/>
                <w:b/>
                <w:bCs/>
                <w:sz w:val="24"/>
                <w:lang w:eastAsia="de-DE"/>
              </w:rPr>
            </w:pPr>
            <w:r w:rsidRPr="00620EA6">
              <w:rPr>
                <w:rFonts w:ascii="Times New Roman" w:hAnsi="Times New Roman"/>
                <w:b/>
                <w:bCs/>
                <w:sz w:val="24"/>
                <w:lang w:eastAsia="de-DE"/>
              </w:rPr>
              <w:t>€100,000</w:t>
            </w:r>
          </w:p>
          <w:p w14:paraId="4CF509E4" w14:textId="33E3D1FD" w:rsidR="006F4495" w:rsidRPr="00620EA6" w:rsidRDefault="006F4495" w:rsidP="006F4495">
            <w:pPr>
              <w:rPr>
                <w:rFonts w:ascii="Times New Roman" w:hAnsi="Times New Roman"/>
                <w:sz w:val="24"/>
                <w:lang w:eastAsia="de-DE"/>
              </w:rPr>
            </w:pPr>
            <w:r w:rsidRPr="00620EA6">
              <w:rPr>
                <w:rFonts w:ascii="Times New Roman" w:hAnsi="Times New Roman"/>
                <w:bCs/>
                <w:sz w:val="24"/>
                <w:lang w:eastAsia="nl-BE"/>
              </w:rPr>
              <w:t>0155, 0255, 0355, 0455, 0555, 0655, 0755, 0855</w:t>
            </w:r>
          </w:p>
        </w:tc>
        <w:tc>
          <w:tcPr>
            <w:tcW w:w="7789" w:type="dxa"/>
          </w:tcPr>
          <w:p w14:paraId="47AA45DA" w14:textId="55B3E484" w:rsidR="00110BD3" w:rsidRPr="00620EA6" w:rsidRDefault="007A689E" w:rsidP="00F1759C">
            <w:pPr>
              <w:rPr>
                <w:rFonts w:ascii="Times New Roman" w:hAnsi="Times New Roman"/>
                <w:sz w:val="24"/>
              </w:rPr>
            </w:pPr>
            <w:r w:rsidRPr="00620EA6">
              <w:rPr>
                <w:rStyle w:val="InstructionsTabelleberschrift"/>
                <w:rFonts w:ascii="Times New Roman" w:hAnsi="Times New Roman"/>
                <w:sz w:val="24"/>
              </w:rPr>
              <w:t>Number of loss events (new events)</w:t>
            </w:r>
            <w:r w:rsidR="00110BD3" w:rsidRPr="00620EA6">
              <w:rPr>
                <w:rFonts w:ascii="Times New Roman" w:hAnsi="Times New Roman"/>
                <w:sz w:val="24"/>
              </w:rPr>
              <w:t xml:space="preserve"> </w:t>
            </w:r>
          </w:p>
          <w:p w14:paraId="4567317E" w14:textId="3000075E" w:rsidR="00A96512" w:rsidRPr="00620EA6" w:rsidRDefault="00A96512" w:rsidP="00A96512">
            <w:pPr>
              <w:rPr>
                <w:rFonts w:ascii="Times New Roman" w:hAnsi="Times New Roman"/>
                <w:sz w:val="24"/>
                <w:lang w:eastAsia="de-DE"/>
              </w:rPr>
            </w:pPr>
            <w:r w:rsidRPr="00620EA6">
              <w:rPr>
                <w:rFonts w:ascii="Times New Roman" w:hAnsi="Times New Roman"/>
                <w:sz w:val="24"/>
                <w:lang w:eastAsia="de-DE"/>
              </w:rPr>
              <w:t xml:space="preserve">The number of loss events for which </w:t>
            </w:r>
            <w:r w:rsidR="00893EDA" w:rsidRPr="00620EA6">
              <w:rPr>
                <w:rFonts w:ascii="Times New Roman" w:hAnsi="Times New Roman"/>
                <w:sz w:val="24"/>
                <w:lang w:eastAsia="de-DE"/>
              </w:rPr>
              <w:t>net</w:t>
            </w:r>
            <w:r w:rsidRPr="00620EA6">
              <w:rPr>
                <w:rFonts w:ascii="Times New Roman" w:hAnsi="Times New Roman"/>
                <w:sz w:val="24"/>
                <w:lang w:eastAsia="de-DE"/>
              </w:rPr>
              <w:t xml:space="preserve"> losses </w:t>
            </w:r>
            <w:r w:rsidR="005F6B52" w:rsidRPr="00620EA6">
              <w:rPr>
                <w:rFonts w:ascii="Times New Roman" w:hAnsi="Times New Roman"/>
                <w:sz w:val="24"/>
                <w:lang w:eastAsia="de-DE"/>
              </w:rPr>
              <w:t>equal or above the reporting threshold (EUR 20,000 in some rows and EUR 100,000 in other rows)</w:t>
            </w:r>
            <w:r w:rsidR="00CA1C14" w:rsidRPr="00620EA6">
              <w:rPr>
                <w:rFonts w:ascii="Times New Roman" w:hAnsi="Times New Roman"/>
                <w:sz w:val="24"/>
                <w:lang w:eastAsia="de-DE"/>
              </w:rPr>
              <w:t xml:space="preserve"> </w:t>
            </w:r>
            <w:r w:rsidRPr="00620EA6">
              <w:rPr>
                <w:rFonts w:ascii="Times New Roman" w:hAnsi="Times New Roman"/>
                <w:sz w:val="24"/>
                <w:lang w:eastAsia="de-DE"/>
              </w:rPr>
              <w:t>were accounted for within the relevant financial year</w:t>
            </w:r>
            <w:r w:rsidR="005F6B52" w:rsidRPr="00620EA6">
              <w:rPr>
                <w:rFonts w:ascii="Times New Roman" w:hAnsi="Times New Roman"/>
                <w:sz w:val="24"/>
                <w:lang w:eastAsia="de-DE"/>
              </w:rPr>
              <w:t>.</w:t>
            </w:r>
          </w:p>
          <w:p w14:paraId="691B2FA2" w14:textId="07025A2C" w:rsidR="00A96512" w:rsidRPr="00620EA6" w:rsidRDefault="00A96512" w:rsidP="00A96512">
            <w:pPr>
              <w:rPr>
                <w:rFonts w:ascii="Times New Roman" w:hAnsi="Times New Roman"/>
                <w:sz w:val="24"/>
                <w:lang w:eastAsia="de-DE"/>
              </w:rPr>
            </w:pPr>
            <w:r w:rsidRPr="00620EA6">
              <w:rPr>
                <w:rFonts w:ascii="Times New Roman" w:hAnsi="Times New Roman"/>
                <w:sz w:val="24"/>
                <w:lang w:eastAsia="de-DE"/>
              </w:rPr>
              <w:t>The number of loss events shall refer to “new events”, i.e. operational risk events</w:t>
            </w:r>
            <w:r w:rsidR="00CA1C14" w:rsidRPr="00620EA6">
              <w:rPr>
                <w:rFonts w:ascii="Times New Roman" w:hAnsi="Times New Roman"/>
                <w:sz w:val="24"/>
                <w:lang w:eastAsia="de-DE"/>
              </w:rPr>
              <w:t xml:space="preserve"> </w:t>
            </w:r>
            <w:r w:rsidRPr="00620EA6">
              <w:rPr>
                <w:rFonts w:ascii="Times New Roman" w:hAnsi="Times New Roman"/>
                <w:sz w:val="24"/>
                <w:lang w:eastAsia="de-DE"/>
              </w:rPr>
              <w:t>“accounted for the first time” in the relevant financial year over the last 10</w:t>
            </w:r>
            <w:r w:rsidR="00EA4844" w:rsidRPr="00620EA6">
              <w:rPr>
                <w:rFonts w:ascii="Times New Roman" w:hAnsi="Times New Roman"/>
                <w:sz w:val="24"/>
                <w:lang w:eastAsia="de-DE"/>
              </w:rPr>
              <w:t xml:space="preserve"> financial</w:t>
            </w:r>
            <w:r w:rsidRPr="00620EA6">
              <w:rPr>
                <w:rFonts w:ascii="Times New Roman" w:hAnsi="Times New Roman"/>
                <w:sz w:val="24"/>
                <w:lang w:eastAsia="de-DE"/>
              </w:rPr>
              <w:t xml:space="preserve"> years</w:t>
            </w:r>
            <w:r w:rsidR="003C4214" w:rsidRPr="00620EA6">
              <w:rPr>
                <w:rFonts w:ascii="Times New Roman" w:hAnsi="Times New Roman"/>
                <w:sz w:val="24"/>
                <w:lang w:eastAsia="de-DE"/>
              </w:rPr>
              <w:t>.</w:t>
            </w:r>
          </w:p>
          <w:p w14:paraId="6DAB2AC1" w14:textId="451E1DB0" w:rsidR="00CA1C14" w:rsidRPr="00620EA6" w:rsidRDefault="00CC3755" w:rsidP="00A96512">
            <w:pPr>
              <w:rPr>
                <w:rFonts w:ascii="Times New Roman" w:hAnsi="Times New Roman"/>
                <w:bCs/>
                <w:sz w:val="24"/>
                <w:lang w:eastAsia="de-DE"/>
              </w:rPr>
            </w:pPr>
            <w:r w:rsidRPr="00620EA6">
              <w:rPr>
                <w:rFonts w:ascii="Times New Roman" w:hAnsi="Times New Roman"/>
                <w:bCs/>
                <w:sz w:val="24"/>
                <w:lang w:eastAsia="de-DE"/>
              </w:rPr>
              <w:t xml:space="preserve">Losses </w:t>
            </w:r>
            <w:r w:rsidR="00893EDA" w:rsidRPr="00620EA6">
              <w:rPr>
                <w:rFonts w:ascii="Times New Roman" w:hAnsi="Times New Roman"/>
                <w:bCs/>
                <w:sz w:val="24"/>
                <w:lang w:eastAsia="de-DE"/>
              </w:rPr>
              <w:t xml:space="preserve">and related recoveries </w:t>
            </w:r>
            <w:r w:rsidRPr="00620EA6">
              <w:rPr>
                <w:rFonts w:ascii="Times New Roman" w:hAnsi="Times New Roman"/>
                <w:bCs/>
                <w:sz w:val="24"/>
                <w:lang w:eastAsia="de-DE"/>
              </w:rPr>
              <w:t xml:space="preserve">caused by a common operational risk event, or by multiple events linked to the same operational risk event, that are recognised in different </w:t>
            </w:r>
            <w:r w:rsidR="00A96512" w:rsidRPr="00620EA6">
              <w:rPr>
                <w:rFonts w:ascii="Times New Roman" w:hAnsi="Times New Roman"/>
                <w:bCs/>
                <w:sz w:val="24"/>
                <w:lang w:eastAsia="de-DE"/>
              </w:rPr>
              <w:t xml:space="preserve">financial </w:t>
            </w:r>
            <w:r w:rsidRPr="00620EA6">
              <w:rPr>
                <w:rFonts w:ascii="Times New Roman" w:hAnsi="Times New Roman"/>
                <w:bCs/>
                <w:sz w:val="24"/>
                <w:lang w:eastAsia="de-DE"/>
              </w:rPr>
              <w:t>years shall be</w:t>
            </w:r>
            <w:r w:rsidR="00893EDA" w:rsidRPr="00620EA6">
              <w:rPr>
                <w:rFonts w:ascii="Times New Roman" w:hAnsi="Times New Roman"/>
                <w:bCs/>
                <w:sz w:val="24"/>
                <w:lang w:eastAsia="de-DE"/>
              </w:rPr>
              <w:t>, respectively,</w:t>
            </w:r>
            <w:r w:rsidRPr="00620EA6">
              <w:rPr>
                <w:rFonts w:ascii="Times New Roman" w:hAnsi="Times New Roman"/>
                <w:bCs/>
                <w:sz w:val="24"/>
                <w:lang w:eastAsia="de-DE"/>
              </w:rPr>
              <w:t xml:space="preserve"> summed up </w:t>
            </w:r>
            <w:r w:rsidR="00893EDA" w:rsidRPr="00620EA6">
              <w:rPr>
                <w:rFonts w:ascii="Times New Roman" w:hAnsi="Times New Roman"/>
                <w:bCs/>
                <w:sz w:val="24"/>
                <w:lang w:eastAsia="de-DE"/>
              </w:rPr>
              <w:t xml:space="preserve">and subtracted </w:t>
            </w:r>
            <w:r w:rsidR="008F6A6F" w:rsidRPr="00620EA6">
              <w:rPr>
                <w:rFonts w:ascii="Times New Roman" w:hAnsi="Times New Roman"/>
                <w:bCs/>
                <w:sz w:val="24"/>
                <w:lang w:eastAsia="de-DE"/>
              </w:rPr>
              <w:t>in</w:t>
            </w:r>
            <w:r w:rsidRPr="00620EA6">
              <w:rPr>
                <w:rFonts w:ascii="Times New Roman" w:hAnsi="Times New Roman"/>
                <w:bCs/>
                <w:sz w:val="24"/>
                <w:lang w:eastAsia="de-DE"/>
              </w:rPr>
              <w:t xml:space="preserve"> the last 10 </w:t>
            </w:r>
            <w:r w:rsidR="00A52DCF" w:rsidRPr="00C27728">
              <w:rPr>
                <w:rFonts w:ascii="Times New Roman" w:hAnsi="Times New Roman"/>
                <w:bCs/>
                <w:sz w:val="24"/>
                <w:lang w:eastAsia="de-DE"/>
              </w:rPr>
              <w:t xml:space="preserve">financial </w:t>
            </w:r>
            <w:r w:rsidRPr="00620EA6">
              <w:rPr>
                <w:rFonts w:ascii="Times New Roman" w:hAnsi="Times New Roman"/>
                <w:bCs/>
                <w:sz w:val="24"/>
                <w:lang w:eastAsia="de-DE"/>
              </w:rPr>
              <w:t xml:space="preserve">years for the purpose of determining whether the </w:t>
            </w:r>
            <w:r w:rsidR="005F6B52" w:rsidRPr="00620EA6">
              <w:rPr>
                <w:rFonts w:ascii="Times New Roman" w:hAnsi="Times New Roman"/>
                <w:sz w:val="24"/>
                <w:lang w:eastAsia="de-DE"/>
              </w:rPr>
              <w:t>reporting EUR 20,000 or  EUR 100,000 threshold</w:t>
            </w:r>
            <w:r w:rsidR="002C42D3" w:rsidRPr="00620EA6">
              <w:rPr>
                <w:rFonts w:ascii="Times New Roman" w:hAnsi="Times New Roman"/>
                <w:bCs/>
                <w:sz w:val="24"/>
                <w:lang w:eastAsia="de-DE"/>
              </w:rPr>
              <w:t>, on a net basis,</w:t>
            </w:r>
            <w:r w:rsidRPr="00620EA6">
              <w:rPr>
                <w:rFonts w:ascii="Times New Roman" w:hAnsi="Times New Roman"/>
                <w:bCs/>
                <w:sz w:val="24"/>
                <w:lang w:eastAsia="de-DE"/>
              </w:rPr>
              <w:t xml:space="preserve"> is exceeded or not. </w:t>
            </w:r>
          </w:p>
          <w:p w14:paraId="02B081B8" w14:textId="0C869BA1" w:rsidR="00CC3755" w:rsidRPr="00620EA6" w:rsidRDefault="00CC3755" w:rsidP="00A96512">
            <w:pPr>
              <w:rPr>
                <w:rFonts w:ascii="Times New Roman" w:hAnsi="Times New Roman"/>
                <w:sz w:val="24"/>
                <w:lang w:eastAsia="de-DE"/>
              </w:rPr>
            </w:pPr>
            <w:r w:rsidRPr="00620EA6">
              <w:rPr>
                <w:rFonts w:ascii="Times New Roman" w:hAnsi="Times New Roman"/>
                <w:sz w:val="24"/>
                <w:lang w:eastAsia="de-DE"/>
              </w:rPr>
              <w:t xml:space="preserve">Exceptional operational risk events of the year that are no longer relevant to the institution’s risk profile for which the institution got permission from the Competent Authority to exclude them from the institution’s annual operational risk losses, in accordance with Article 320(1) </w:t>
            </w:r>
            <w:r w:rsidRPr="00620EA6">
              <w:rPr>
                <w:rFonts w:ascii="Times New Roman" w:hAnsi="Times New Roman"/>
                <w:bCs/>
                <w:sz w:val="24"/>
                <w:lang w:eastAsia="de-DE"/>
              </w:rPr>
              <w:t>of Regulation (EU) 575/2013,</w:t>
            </w:r>
            <w:r w:rsidRPr="00620EA6">
              <w:rPr>
                <w:rFonts w:ascii="Times New Roman" w:hAnsi="Times New Roman"/>
                <w:sz w:val="24"/>
                <w:lang w:eastAsia="de-DE"/>
              </w:rPr>
              <w:t xml:space="preserve"> shall </w:t>
            </w:r>
            <w:r w:rsidR="00CA1C14" w:rsidRPr="00620EA6">
              <w:rPr>
                <w:rFonts w:ascii="Times New Roman" w:hAnsi="Times New Roman"/>
                <w:sz w:val="24"/>
                <w:lang w:eastAsia="de-DE"/>
              </w:rPr>
              <w:t xml:space="preserve">not </w:t>
            </w:r>
            <w:r w:rsidRPr="00620EA6">
              <w:rPr>
                <w:rFonts w:ascii="Times New Roman" w:hAnsi="Times New Roman"/>
                <w:sz w:val="24"/>
                <w:lang w:eastAsia="de-DE"/>
              </w:rPr>
              <w:t>be taken into account in the calculation of the item for this row.</w:t>
            </w:r>
          </w:p>
        </w:tc>
      </w:tr>
      <w:tr w:rsidR="00553356" w:rsidRPr="00620EA6" w14:paraId="493556EC" w14:textId="77777777" w:rsidTr="008935EB">
        <w:tc>
          <w:tcPr>
            <w:tcW w:w="1273" w:type="dxa"/>
          </w:tcPr>
          <w:p w14:paraId="398D67C1" w14:textId="77777777" w:rsidR="0014751F" w:rsidRPr="00620EA6" w:rsidRDefault="0014751F" w:rsidP="0014751F">
            <w:pPr>
              <w:rPr>
                <w:rFonts w:ascii="Times New Roman" w:hAnsi="Times New Roman"/>
                <w:b/>
                <w:bCs/>
                <w:sz w:val="24"/>
                <w:lang w:eastAsia="de-DE"/>
              </w:rPr>
            </w:pPr>
            <w:r w:rsidRPr="00620EA6">
              <w:rPr>
                <w:rFonts w:ascii="Times New Roman" w:hAnsi="Times New Roman"/>
                <w:b/>
                <w:bCs/>
                <w:sz w:val="24"/>
                <w:lang w:eastAsia="de-DE"/>
              </w:rPr>
              <w:t>€20,000</w:t>
            </w:r>
          </w:p>
          <w:p w14:paraId="00D2184E" w14:textId="1AFD7814" w:rsidR="0014751F" w:rsidRPr="00620EA6" w:rsidRDefault="0014751F" w:rsidP="0014751F">
            <w:pPr>
              <w:rPr>
                <w:rFonts w:ascii="Times New Roman" w:hAnsi="Times New Roman"/>
                <w:bCs/>
                <w:sz w:val="24"/>
                <w:lang w:eastAsia="nl-BE"/>
              </w:rPr>
            </w:pPr>
            <w:r w:rsidRPr="00620EA6">
              <w:rPr>
                <w:rFonts w:ascii="Times New Roman" w:hAnsi="Times New Roman"/>
                <w:sz w:val="24"/>
                <w:lang w:eastAsia="de-DE"/>
              </w:rPr>
              <w:lastRenderedPageBreak/>
              <w:t>0115,</w:t>
            </w:r>
            <w:r w:rsidRPr="00620EA6">
              <w:rPr>
                <w:rFonts w:ascii="Times New Roman" w:hAnsi="Times New Roman"/>
                <w:bCs/>
                <w:sz w:val="24"/>
                <w:lang w:eastAsia="nl-BE"/>
              </w:rPr>
              <w:t xml:space="preserve"> 0215, 0315, 0415, 0515, 0615, 0715, 0815</w:t>
            </w:r>
          </w:p>
          <w:p w14:paraId="16FB1CDD" w14:textId="77777777" w:rsidR="0014751F" w:rsidRPr="00620EA6" w:rsidRDefault="0014751F" w:rsidP="0014751F">
            <w:pPr>
              <w:rPr>
                <w:rFonts w:ascii="Times New Roman" w:hAnsi="Times New Roman"/>
                <w:b/>
                <w:bCs/>
                <w:sz w:val="24"/>
                <w:lang w:eastAsia="de-DE"/>
              </w:rPr>
            </w:pPr>
            <w:r w:rsidRPr="00620EA6">
              <w:rPr>
                <w:rFonts w:ascii="Times New Roman" w:hAnsi="Times New Roman"/>
                <w:b/>
                <w:bCs/>
                <w:sz w:val="24"/>
                <w:lang w:eastAsia="de-DE"/>
              </w:rPr>
              <w:t>€100,000</w:t>
            </w:r>
          </w:p>
          <w:p w14:paraId="1AF434DE" w14:textId="75199D08" w:rsidR="00553356" w:rsidRPr="00620EA6" w:rsidRDefault="0014751F" w:rsidP="0014751F">
            <w:pPr>
              <w:rPr>
                <w:rFonts w:ascii="Times New Roman" w:hAnsi="Times New Roman"/>
                <w:sz w:val="24"/>
                <w:lang w:eastAsia="de-DE"/>
              </w:rPr>
            </w:pPr>
            <w:r w:rsidRPr="00620EA6">
              <w:rPr>
                <w:rFonts w:ascii="Times New Roman" w:hAnsi="Times New Roman"/>
                <w:bCs/>
                <w:sz w:val="24"/>
                <w:lang w:eastAsia="nl-BE"/>
              </w:rPr>
              <w:t>0160, 0260, 0360, 0460, 0560, 0660, 0760, 0860</w:t>
            </w:r>
          </w:p>
        </w:tc>
        <w:tc>
          <w:tcPr>
            <w:tcW w:w="7789" w:type="dxa"/>
          </w:tcPr>
          <w:p w14:paraId="7118C206" w14:textId="77777777" w:rsidR="00553356" w:rsidRPr="00620EA6" w:rsidRDefault="00553356" w:rsidP="00553356">
            <w:pPr>
              <w:rPr>
                <w:rStyle w:val="InstructionsTabelleberschrift"/>
                <w:rFonts w:ascii="Times New Roman" w:hAnsi="Times New Roman"/>
                <w:sz w:val="24"/>
                <w:lang w:eastAsia="es-ES_tradnl"/>
              </w:rPr>
            </w:pPr>
            <w:r w:rsidRPr="00620EA6">
              <w:rPr>
                <w:rStyle w:val="InstructionsTabelleberschrift"/>
                <w:rFonts w:ascii="Times New Roman" w:hAnsi="Times New Roman"/>
                <w:sz w:val="24"/>
                <w:lang w:eastAsia="es-ES_tradnl"/>
              </w:rPr>
              <w:lastRenderedPageBreak/>
              <w:t xml:space="preserve">Gross loss </w:t>
            </w:r>
            <w:r w:rsidRPr="00620EA6">
              <w:rPr>
                <w:rStyle w:val="InstructionsTabelleberschrift"/>
                <w:rFonts w:ascii="Times New Roman" w:hAnsi="Times New Roman"/>
                <w:sz w:val="24"/>
              </w:rPr>
              <w:t>amount</w:t>
            </w:r>
            <w:r w:rsidRPr="00620EA6">
              <w:rPr>
                <w:rStyle w:val="InstructionsTabelleberschrift"/>
                <w:rFonts w:ascii="Times New Roman" w:hAnsi="Times New Roman"/>
                <w:sz w:val="24"/>
                <w:lang w:eastAsia="es-ES_tradnl"/>
              </w:rPr>
              <w:t xml:space="preserve"> (new loss events)</w:t>
            </w:r>
          </w:p>
          <w:p w14:paraId="681BAA0C" w14:textId="1627ACE4" w:rsidR="002C42D3" w:rsidRPr="00620EA6" w:rsidRDefault="00553356" w:rsidP="00553356">
            <w:pPr>
              <w:rPr>
                <w:rFonts w:ascii="Times New Roman" w:hAnsi="Times New Roman"/>
                <w:sz w:val="24"/>
                <w:lang w:eastAsia="de-DE"/>
              </w:rPr>
            </w:pPr>
            <w:r w:rsidRPr="00620EA6">
              <w:rPr>
                <w:rFonts w:ascii="Times New Roman" w:hAnsi="Times New Roman"/>
                <w:sz w:val="24"/>
                <w:lang w:eastAsia="de-DE"/>
              </w:rPr>
              <w:lastRenderedPageBreak/>
              <w:t xml:space="preserve">The gross loss amount </w:t>
            </w:r>
            <w:r w:rsidR="00CE302F" w:rsidRPr="00620EA6">
              <w:rPr>
                <w:rFonts w:ascii="Times New Roman" w:hAnsi="Times New Roman"/>
                <w:sz w:val="24"/>
                <w:lang w:eastAsia="de-DE"/>
              </w:rPr>
              <w:t>of operational risk events, calculated in accordance with Articles 317 and 318 of Regulation (EU) No 575/2013 and referred to “new loss events” as indicated in the row above of this table</w:t>
            </w:r>
            <w:r w:rsidRPr="00620EA6">
              <w:rPr>
                <w:rFonts w:ascii="Times New Roman" w:hAnsi="Times New Roman"/>
                <w:sz w:val="24"/>
                <w:lang w:eastAsia="de-DE"/>
              </w:rPr>
              <w:t>.</w:t>
            </w:r>
          </w:p>
          <w:p w14:paraId="5DD86361" w14:textId="1FB9390A" w:rsidR="00553356" w:rsidRPr="00620EA6" w:rsidRDefault="00553356" w:rsidP="00553356">
            <w:pPr>
              <w:rPr>
                <w:rFonts w:ascii="Times New Roman" w:hAnsi="Times New Roman"/>
                <w:sz w:val="24"/>
                <w:lang w:eastAsia="de-DE"/>
              </w:rPr>
            </w:pPr>
            <w:r w:rsidRPr="00620EA6">
              <w:rPr>
                <w:rFonts w:ascii="Times New Roman" w:hAnsi="Times New Roman"/>
                <w:sz w:val="24"/>
                <w:lang w:eastAsia="de-DE"/>
              </w:rPr>
              <w:t xml:space="preserve">All losses related to a single loss event which are accounted for </w:t>
            </w:r>
            <w:r w:rsidR="002C42D3" w:rsidRPr="00620EA6">
              <w:rPr>
                <w:rFonts w:ascii="Times New Roman" w:hAnsi="Times New Roman"/>
                <w:sz w:val="24"/>
                <w:lang w:eastAsia="de-DE"/>
              </w:rPr>
              <w:t>in a certain financial year over the last 10 years</w:t>
            </w:r>
            <w:r w:rsidRPr="00620EA6">
              <w:rPr>
                <w:rFonts w:ascii="Times New Roman" w:hAnsi="Times New Roman"/>
                <w:sz w:val="24"/>
                <w:lang w:eastAsia="de-DE"/>
              </w:rPr>
              <w:t xml:space="preserve"> shall be summed up and considered as the gross loss for that loss event for that </w:t>
            </w:r>
            <w:r w:rsidR="002C42D3" w:rsidRPr="00620EA6">
              <w:rPr>
                <w:rFonts w:ascii="Times New Roman" w:hAnsi="Times New Roman"/>
                <w:sz w:val="24"/>
                <w:lang w:eastAsia="de-DE"/>
              </w:rPr>
              <w:t>financial year</w:t>
            </w:r>
            <w:r w:rsidRPr="00620EA6">
              <w:rPr>
                <w:rFonts w:ascii="Times New Roman" w:hAnsi="Times New Roman"/>
                <w:sz w:val="24"/>
                <w:lang w:eastAsia="de-DE"/>
              </w:rPr>
              <w:t>.</w:t>
            </w:r>
          </w:p>
          <w:p w14:paraId="2E367DDA" w14:textId="59605222" w:rsidR="00410701" w:rsidRPr="00620EA6" w:rsidRDefault="00410701" w:rsidP="00410701">
            <w:pPr>
              <w:rPr>
                <w:rFonts w:ascii="Times New Roman" w:hAnsi="Times New Roman"/>
                <w:sz w:val="24"/>
                <w:lang w:eastAsia="de-DE"/>
              </w:rPr>
            </w:pPr>
            <w:r w:rsidRPr="00620EA6">
              <w:rPr>
                <w:rFonts w:ascii="Times New Roman" w:hAnsi="Times New Roman"/>
                <w:sz w:val="24"/>
                <w:lang w:eastAsia="de-DE"/>
              </w:rPr>
              <w:t xml:space="preserve">The impact of a loss event on a particular financial year may be smaller than the </w:t>
            </w:r>
            <w:r w:rsidR="00524D7F" w:rsidRPr="00620EA6">
              <w:rPr>
                <w:rFonts w:ascii="Times New Roman" w:hAnsi="Times New Roman"/>
                <w:sz w:val="24"/>
                <w:lang w:eastAsia="de-DE"/>
              </w:rPr>
              <w:t xml:space="preserve">reporting </w:t>
            </w:r>
            <w:r w:rsidRPr="00620EA6">
              <w:rPr>
                <w:rFonts w:ascii="Times New Roman" w:hAnsi="Times New Roman"/>
                <w:sz w:val="24"/>
                <w:lang w:eastAsia="de-DE"/>
              </w:rPr>
              <w:t>EUR 20,000 or EUR 100,000 threshold, but these impacts should still</w:t>
            </w:r>
            <w:r w:rsidR="00524D7F" w:rsidRPr="00620EA6">
              <w:rPr>
                <w:rFonts w:ascii="Times New Roman" w:hAnsi="Times New Roman"/>
                <w:sz w:val="24"/>
                <w:lang w:eastAsia="de-DE"/>
              </w:rPr>
              <w:t xml:space="preserve"> be</w:t>
            </w:r>
            <w:r w:rsidRPr="00620EA6">
              <w:rPr>
                <w:rFonts w:ascii="Times New Roman" w:hAnsi="Times New Roman"/>
                <w:sz w:val="24"/>
                <w:lang w:eastAsia="de-DE"/>
              </w:rPr>
              <w:t xml:space="preserve"> reported in the total gross loss amount if the net aggregate impact of the loss event over the last 10 </w:t>
            </w:r>
            <w:r w:rsidR="00320DC6" w:rsidRPr="00C27728">
              <w:rPr>
                <w:rFonts w:ascii="Times New Roman" w:hAnsi="Times New Roman"/>
                <w:sz w:val="24"/>
                <w:lang w:eastAsia="de-DE"/>
              </w:rPr>
              <w:t xml:space="preserve">financial </w:t>
            </w:r>
            <w:r w:rsidRPr="00620EA6">
              <w:rPr>
                <w:rFonts w:ascii="Times New Roman" w:hAnsi="Times New Roman"/>
                <w:sz w:val="24"/>
                <w:lang w:eastAsia="de-DE"/>
              </w:rPr>
              <w:t>years is above the appropriate reporting threshold.</w:t>
            </w:r>
          </w:p>
          <w:p w14:paraId="0EA41E91" w14:textId="0D8C5F56" w:rsidR="00553356" w:rsidRPr="00620EA6" w:rsidRDefault="00553356" w:rsidP="00553356">
            <w:pPr>
              <w:rPr>
                <w:rStyle w:val="InstructionsTabelleberschrift"/>
                <w:rFonts w:ascii="Times New Roman" w:hAnsi="Times New Roman"/>
                <w:sz w:val="24"/>
              </w:rPr>
            </w:pPr>
            <w:r w:rsidRPr="00620EA6">
              <w:rPr>
                <w:rFonts w:ascii="Times New Roman" w:hAnsi="Times New Roman"/>
                <w:sz w:val="24"/>
                <w:lang w:eastAsia="de-DE"/>
              </w:rPr>
              <w:t xml:space="preserve">The amounts to be reported </w:t>
            </w:r>
            <w:r w:rsidR="002C42D3" w:rsidRPr="00620EA6">
              <w:rPr>
                <w:rFonts w:ascii="Times New Roman" w:hAnsi="Times New Roman"/>
                <w:sz w:val="24"/>
                <w:lang w:eastAsia="de-DE"/>
              </w:rPr>
              <w:t xml:space="preserve">in this row </w:t>
            </w:r>
            <w:r w:rsidRPr="00620EA6">
              <w:rPr>
                <w:rFonts w:ascii="Times New Roman" w:hAnsi="Times New Roman"/>
                <w:sz w:val="24"/>
                <w:lang w:eastAsia="de-DE"/>
              </w:rPr>
              <w:t xml:space="preserve">shall not </w:t>
            </w:r>
            <w:proofErr w:type="gramStart"/>
            <w:r w:rsidRPr="00620EA6">
              <w:rPr>
                <w:rFonts w:ascii="Times New Roman" w:hAnsi="Times New Roman"/>
                <w:sz w:val="24"/>
                <w:lang w:eastAsia="de-DE"/>
              </w:rPr>
              <w:t>take into account</w:t>
            </w:r>
            <w:proofErr w:type="gramEnd"/>
            <w:r w:rsidR="003F37AB" w:rsidRPr="00620EA6">
              <w:rPr>
                <w:rFonts w:ascii="Times New Roman" w:hAnsi="Times New Roman"/>
                <w:sz w:val="24"/>
                <w:lang w:eastAsia="de-DE"/>
              </w:rPr>
              <w:t xml:space="preserve"> </w:t>
            </w:r>
            <w:r w:rsidRPr="00620EA6">
              <w:rPr>
                <w:rFonts w:ascii="Times New Roman" w:hAnsi="Times New Roman"/>
                <w:sz w:val="24"/>
                <w:lang w:eastAsia="de-DE"/>
              </w:rPr>
              <w:t>obtained recoveries.</w:t>
            </w:r>
          </w:p>
        </w:tc>
      </w:tr>
      <w:tr w:rsidR="008935EB" w:rsidRPr="00620EA6" w14:paraId="60A36E84" w14:textId="77777777" w:rsidTr="008935EB">
        <w:tc>
          <w:tcPr>
            <w:tcW w:w="1273" w:type="dxa"/>
          </w:tcPr>
          <w:p w14:paraId="5B32C3DF" w14:textId="77777777" w:rsidR="008935EB" w:rsidRPr="00620EA6" w:rsidRDefault="008935EB" w:rsidP="008935EB">
            <w:pPr>
              <w:rPr>
                <w:rFonts w:ascii="Times New Roman" w:hAnsi="Times New Roman"/>
                <w:b/>
                <w:bCs/>
                <w:sz w:val="24"/>
                <w:lang w:eastAsia="de-DE"/>
              </w:rPr>
            </w:pPr>
            <w:r w:rsidRPr="00620EA6">
              <w:rPr>
                <w:rFonts w:ascii="Times New Roman" w:hAnsi="Times New Roman"/>
                <w:b/>
                <w:bCs/>
                <w:sz w:val="24"/>
                <w:lang w:eastAsia="de-DE"/>
              </w:rPr>
              <w:lastRenderedPageBreak/>
              <w:t>€20,000</w:t>
            </w:r>
          </w:p>
          <w:p w14:paraId="45913361" w14:textId="7E8D87DB" w:rsidR="008935EB" w:rsidRPr="00620EA6" w:rsidRDefault="008935EB" w:rsidP="008935EB">
            <w:pPr>
              <w:jc w:val="left"/>
              <w:rPr>
                <w:rFonts w:ascii="Times New Roman" w:hAnsi="Times New Roman"/>
                <w:bCs/>
                <w:sz w:val="24"/>
                <w:lang w:eastAsia="nl-BE"/>
              </w:rPr>
            </w:pPr>
            <w:r w:rsidRPr="00620EA6">
              <w:rPr>
                <w:rFonts w:ascii="Times New Roman" w:hAnsi="Times New Roman"/>
                <w:sz w:val="24"/>
                <w:lang w:eastAsia="de-DE"/>
              </w:rPr>
              <w:t>0120,</w:t>
            </w:r>
            <w:r w:rsidRPr="00620EA6">
              <w:rPr>
                <w:rFonts w:ascii="Times New Roman" w:hAnsi="Times New Roman"/>
                <w:bCs/>
                <w:sz w:val="24"/>
                <w:lang w:eastAsia="nl-BE"/>
              </w:rPr>
              <w:t xml:space="preserve"> 0220, 0320, 0420, 0520, 0620, 0720, 0820</w:t>
            </w:r>
          </w:p>
          <w:p w14:paraId="6E6CFA42" w14:textId="77777777" w:rsidR="008935EB" w:rsidRPr="00620EA6" w:rsidRDefault="008935EB" w:rsidP="008935EB">
            <w:pPr>
              <w:rPr>
                <w:rFonts w:ascii="Times New Roman" w:hAnsi="Times New Roman"/>
                <w:b/>
                <w:bCs/>
                <w:sz w:val="24"/>
                <w:lang w:eastAsia="de-DE"/>
              </w:rPr>
            </w:pPr>
            <w:r w:rsidRPr="00620EA6">
              <w:rPr>
                <w:rFonts w:ascii="Times New Roman" w:hAnsi="Times New Roman"/>
                <w:b/>
                <w:bCs/>
                <w:sz w:val="24"/>
                <w:lang w:eastAsia="de-DE"/>
              </w:rPr>
              <w:t>€100,000</w:t>
            </w:r>
          </w:p>
          <w:p w14:paraId="7C558BCA" w14:textId="035A2041" w:rsidR="008935EB" w:rsidRPr="00620EA6" w:rsidRDefault="008935EB" w:rsidP="008935EB">
            <w:pPr>
              <w:rPr>
                <w:rFonts w:ascii="Times New Roman" w:hAnsi="Times New Roman"/>
                <w:sz w:val="24"/>
                <w:lang w:eastAsia="de-DE"/>
              </w:rPr>
            </w:pPr>
            <w:r w:rsidRPr="00620EA6">
              <w:rPr>
                <w:rFonts w:ascii="Times New Roman" w:hAnsi="Times New Roman"/>
                <w:bCs/>
                <w:sz w:val="24"/>
                <w:lang w:eastAsia="nl-BE"/>
              </w:rPr>
              <w:t>01</w:t>
            </w:r>
            <w:r w:rsidR="003F3AF1" w:rsidRPr="00620EA6">
              <w:rPr>
                <w:rFonts w:ascii="Times New Roman" w:hAnsi="Times New Roman"/>
                <w:bCs/>
                <w:sz w:val="24"/>
                <w:lang w:eastAsia="nl-BE"/>
              </w:rPr>
              <w:t>65</w:t>
            </w:r>
            <w:r w:rsidRPr="00620EA6">
              <w:rPr>
                <w:rFonts w:ascii="Times New Roman" w:hAnsi="Times New Roman"/>
                <w:bCs/>
                <w:sz w:val="24"/>
                <w:lang w:eastAsia="nl-BE"/>
              </w:rPr>
              <w:t>, 02</w:t>
            </w:r>
            <w:r w:rsidR="003F3AF1" w:rsidRPr="00620EA6">
              <w:rPr>
                <w:rFonts w:ascii="Times New Roman" w:hAnsi="Times New Roman"/>
                <w:bCs/>
                <w:sz w:val="24"/>
                <w:lang w:eastAsia="nl-BE"/>
              </w:rPr>
              <w:t>65</w:t>
            </w:r>
            <w:r w:rsidRPr="00620EA6">
              <w:rPr>
                <w:rFonts w:ascii="Times New Roman" w:hAnsi="Times New Roman"/>
                <w:bCs/>
                <w:sz w:val="24"/>
                <w:lang w:eastAsia="nl-BE"/>
              </w:rPr>
              <w:t>, 03</w:t>
            </w:r>
            <w:r w:rsidR="003F3AF1" w:rsidRPr="00620EA6">
              <w:rPr>
                <w:rFonts w:ascii="Times New Roman" w:hAnsi="Times New Roman"/>
                <w:bCs/>
                <w:sz w:val="24"/>
                <w:lang w:eastAsia="nl-BE"/>
              </w:rPr>
              <w:t>65</w:t>
            </w:r>
            <w:r w:rsidRPr="00620EA6">
              <w:rPr>
                <w:rFonts w:ascii="Times New Roman" w:hAnsi="Times New Roman"/>
                <w:bCs/>
                <w:sz w:val="24"/>
                <w:lang w:eastAsia="nl-BE"/>
              </w:rPr>
              <w:t>, 04</w:t>
            </w:r>
            <w:r w:rsidR="003F3AF1" w:rsidRPr="00620EA6">
              <w:rPr>
                <w:rFonts w:ascii="Times New Roman" w:hAnsi="Times New Roman"/>
                <w:bCs/>
                <w:sz w:val="24"/>
                <w:lang w:eastAsia="nl-BE"/>
              </w:rPr>
              <w:t>65</w:t>
            </w:r>
            <w:r w:rsidRPr="00620EA6">
              <w:rPr>
                <w:rFonts w:ascii="Times New Roman" w:hAnsi="Times New Roman"/>
                <w:bCs/>
                <w:sz w:val="24"/>
                <w:lang w:eastAsia="nl-BE"/>
              </w:rPr>
              <w:t>, 05</w:t>
            </w:r>
            <w:r w:rsidR="003F3AF1" w:rsidRPr="00620EA6">
              <w:rPr>
                <w:rFonts w:ascii="Times New Roman" w:hAnsi="Times New Roman"/>
                <w:bCs/>
                <w:sz w:val="24"/>
                <w:lang w:eastAsia="nl-BE"/>
              </w:rPr>
              <w:t>65</w:t>
            </w:r>
            <w:r w:rsidRPr="00620EA6">
              <w:rPr>
                <w:rFonts w:ascii="Times New Roman" w:hAnsi="Times New Roman"/>
                <w:bCs/>
                <w:sz w:val="24"/>
                <w:lang w:eastAsia="nl-BE"/>
              </w:rPr>
              <w:t>, 06</w:t>
            </w:r>
            <w:r w:rsidR="003F3AF1" w:rsidRPr="00620EA6">
              <w:rPr>
                <w:rFonts w:ascii="Times New Roman" w:hAnsi="Times New Roman"/>
                <w:bCs/>
                <w:sz w:val="24"/>
                <w:lang w:eastAsia="nl-BE"/>
              </w:rPr>
              <w:t>65</w:t>
            </w:r>
            <w:r w:rsidRPr="00620EA6">
              <w:rPr>
                <w:rFonts w:ascii="Times New Roman" w:hAnsi="Times New Roman"/>
                <w:bCs/>
                <w:sz w:val="24"/>
                <w:lang w:eastAsia="nl-BE"/>
              </w:rPr>
              <w:t>, 07</w:t>
            </w:r>
            <w:r w:rsidR="003F3AF1" w:rsidRPr="00620EA6">
              <w:rPr>
                <w:rFonts w:ascii="Times New Roman" w:hAnsi="Times New Roman"/>
                <w:bCs/>
                <w:sz w:val="24"/>
                <w:lang w:eastAsia="nl-BE"/>
              </w:rPr>
              <w:t>65</w:t>
            </w:r>
            <w:r w:rsidRPr="00620EA6">
              <w:rPr>
                <w:rFonts w:ascii="Times New Roman" w:hAnsi="Times New Roman"/>
                <w:bCs/>
                <w:sz w:val="24"/>
                <w:lang w:eastAsia="nl-BE"/>
              </w:rPr>
              <w:t>, 08</w:t>
            </w:r>
            <w:r w:rsidR="003F3AF1" w:rsidRPr="00620EA6">
              <w:rPr>
                <w:rFonts w:ascii="Times New Roman" w:hAnsi="Times New Roman"/>
                <w:bCs/>
                <w:sz w:val="24"/>
                <w:lang w:eastAsia="nl-BE"/>
              </w:rPr>
              <w:t>65</w:t>
            </w:r>
          </w:p>
        </w:tc>
        <w:tc>
          <w:tcPr>
            <w:tcW w:w="7789" w:type="dxa"/>
          </w:tcPr>
          <w:p w14:paraId="52D25AE6" w14:textId="77777777" w:rsidR="008935EB" w:rsidRPr="00620EA6" w:rsidRDefault="008935EB" w:rsidP="008935EB">
            <w:pPr>
              <w:rPr>
                <w:rStyle w:val="InstructionsTabelleberschrift"/>
                <w:rFonts w:ascii="Times New Roman" w:hAnsi="Times New Roman"/>
                <w:sz w:val="24"/>
                <w:lang w:eastAsia="es-ES_tradnl"/>
              </w:rPr>
            </w:pPr>
            <w:r w:rsidRPr="00620EA6">
              <w:rPr>
                <w:rStyle w:val="InstructionsTabelleberschrift"/>
                <w:rFonts w:ascii="Times New Roman" w:hAnsi="Times New Roman"/>
                <w:sz w:val="24"/>
                <w:lang w:eastAsia="es-ES_tradnl"/>
              </w:rPr>
              <w:t xml:space="preserve">Number of </w:t>
            </w:r>
            <w:r w:rsidRPr="00620EA6">
              <w:rPr>
                <w:rStyle w:val="InstructionsTabelleberschrift"/>
                <w:rFonts w:ascii="Times New Roman" w:hAnsi="Times New Roman"/>
                <w:sz w:val="24"/>
              </w:rPr>
              <w:t>loss</w:t>
            </w:r>
            <w:r w:rsidRPr="00620EA6">
              <w:rPr>
                <w:rStyle w:val="InstructionsTabelleberschrift"/>
                <w:rFonts w:ascii="Times New Roman" w:hAnsi="Times New Roman"/>
                <w:sz w:val="24"/>
                <w:lang w:eastAsia="es-ES_tradnl"/>
              </w:rPr>
              <w:t xml:space="preserve"> events subject to loss adjustments</w:t>
            </w:r>
          </w:p>
          <w:p w14:paraId="6AF61885" w14:textId="1B1AEA4D" w:rsidR="008935EB" w:rsidRPr="00620EA6" w:rsidRDefault="008935EB" w:rsidP="008935EB">
            <w:pPr>
              <w:rPr>
                <w:rFonts w:ascii="Times New Roman" w:hAnsi="Times New Roman"/>
                <w:sz w:val="24"/>
                <w:lang w:eastAsia="de-DE"/>
              </w:rPr>
            </w:pPr>
            <w:r w:rsidRPr="00620EA6">
              <w:rPr>
                <w:rFonts w:ascii="Times New Roman" w:hAnsi="Times New Roman"/>
                <w:sz w:val="24"/>
                <w:lang w:eastAsia="de-DE"/>
              </w:rPr>
              <w:t xml:space="preserve">The number of operational risk loss events “accounted for the first time” in previous financial years, for which loss adjustments were made in the relevant financial year over the last 10 years. </w:t>
            </w:r>
          </w:p>
          <w:p w14:paraId="4D25044F" w14:textId="77777777" w:rsidR="008935EB" w:rsidRPr="00620EA6" w:rsidRDefault="008935EB" w:rsidP="008935EB">
            <w:pPr>
              <w:rPr>
                <w:rFonts w:ascii="Times New Roman" w:hAnsi="Times New Roman"/>
                <w:sz w:val="24"/>
                <w:lang w:eastAsia="de-DE"/>
              </w:rPr>
            </w:pPr>
            <w:r w:rsidRPr="00620EA6">
              <w:rPr>
                <w:rFonts w:ascii="Times New Roman" w:hAnsi="Times New Roman"/>
                <w:sz w:val="24"/>
                <w:lang w:eastAsia="de-DE"/>
              </w:rPr>
              <w:t>Where more than one loss adjustment was made for a loss event in a certain financial year, the sum of those loss adjustments shall be counted as one adjustment in that year.</w:t>
            </w:r>
          </w:p>
          <w:p w14:paraId="2314711D" w14:textId="3658CA8B" w:rsidR="00555341" w:rsidRPr="00620EA6" w:rsidRDefault="00555341" w:rsidP="008935EB">
            <w:pPr>
              <w:rPr>
                <w:rFonts w:ascii="Times New Roman" w:hAnsi="Times New Roman"/>
                <w:bCs/>
                <w:sz w:val="24"/>
                <w:lang w:eastAsia="de-DE"/>
              </w:rPr>
            </w:pPr>
          </w:p>
          <w:p w14:paraId="78E0BC44" w14:textId="075EF9B6" w:rsidR="00555341" w:rsidRPr="00620EA6" w:rsidRDefault="00555341" w:rsidP="008935EB">
            <w:pPr>
              <w:rPr>
                <w:rStyle w:val="InstructionsTabelleberschrift"/>
                <w:rFonts w:ascii="Times New Roman" w:hAnsi="Times New Roman"/>
                <w:b w:val="0"/>
                <w:bCs w:val="0"/>
                <w:sz w:val="24"/>
                <w:u w:val="none"/>
              </w:rPr>
            </w:pPr>
            <w:r w:rsidRPr="00620EA6">
              <w:rPr>
                <w:rFonts w:ascii="Times New Roman" w:hAnsi="Times New Roman"/>
                <w:sz w:val="24"/>
              </w:rPr>
              <w:t>Where loss adjustments accounted for within the last 10 financial years pertain to loss events that were originally recogni</w:t>
            </w:r>
            <w:r w:rsidR="00A43695" w:rsidRPr="00620EA6">
              <w:rPr>
                <w:rFonts w:ascii="Times New Roman" w:hAnsi="Times New Roman"/>
                <w:sz w:val="24"/>
              </w:rPr>
              <w:t>s</w:t>
            </w:r>
            <w:r w:rsidRPr="00620EA6">
              <w:rPr>
                <w:rFonts w:ascii="Times New Roman" w:hAnsi="Times New Roman"/>
                <w:sz w:val="24"/>
              </w:rPr>
              <w:t xml:space="preserve">ed or accounted for prior to the last 10 </w:t>
            </w:r>
            <w:r w:rsidR="00A43695" w:rsidRPr="00C27728">
              <w:rPr>
                <w:rFonts w:ascii="Times New Roman" w:hAnsi="Times New Roman"/>
                <w:sz w:val="24"/>
              </w:rPr>
              <w:t xml:space="preserve">financial </w:t>
            </w:r>
            <w:r w:rsidRPr="00620EA6">
              <w:rPr>
                <w:rFonts w:ascii="Times New Roman" w:hAnsi="Times New Roman"/>
                <w:sz w:val="24"/>
              </w:rPr>
              <w:t xml:space="preserve">years, all such adjustments and the related recoveries shall be, respectively, summed up and subtracted </w:t>
            </w:r>
            <w:r w:rsidRPr="00620EA6">
              <w:rPr>
                <w:rFonts w:ascii="Times New Roman" w:hAnsi="Times New Roman"/>
                <w:i/>
                <w:iCs/>
                <w:sz w:val="24"/>
              </w:rPr>
              <w:t xml:space="preserve">within the scope of the last 10 years only </w:t>
            </w:r>
            <w:r w:rsidRPr="00620EA6">
              <w:rPr>
                <w:rFonts w:ascii="Times New Roman" w:hAnsi="Times New Roman"/>
                <w:sz w:val="24"/>
              </w:rPr>
              <w:t xml:space="preserve">for the purpose of determining whether the reporting thresholds of EUR 20,000 or EUR 100,000, on a net basis, have been exceeded. Adjustments or recoveries accounted for prior to the last 10 </w:t>
            </w:r>
            <w:r w:rsidR="00A43695" w:rsidRPr="00620EA6">
              <w:rPr>
                <w:rFonts w:ascii="Times New Roman" w:hAnsi="Times New Roman"/>
                <w:sz w:val="24"/>
              </w:rPr>
              <w:t xml:space="preserve">financial </w:t>
            </w:r>
            <w:r w:rsidRPr="00620EA6">
              <w:rPr>
                <w:rFonts w:ascii="Times New Roman" w:hAnsi="Times New Roman"/>
                <w:sz w:val="24"/>
              </w:rPr>
              <w:t>years shall not be considered in this assessment.</w:t>
            </w:r>
          </w:p>
        </w:tc>
      </w:tr>
      <w:tr w:rsidR="003F3AF1" w:rsidRPr="00620EA6" w14:paraId="7AE8DF7A" w14:textId="77777777" w:rsidTr="008935EB">
        <w:tc>
          <w:tcPr>
            <w:tcW w:w="1273" w:type="dxa"/>
          </w:tcPr>
          <w:p w14:paraId="42CE657A" w14:textId="77777777" w:rsidR="003F3AF1" w:rsidRPr="00620EA6" w:rsidRDefault="003F3AF1" w:rsidP="003F3AF1">
            <w:pPr>
              <w:rPr>
                <w:rFonts w:ascii="Times New Roman" w:hAnsi="Times New Roman"/>
                <w:b/>
                <w:bCs/>
                <w:sz w:val="24"/>
                <w:lang w:eastAsia="de-DE"/>
              </w:rPr>
            </w:pPr>
            <w:r w:rsidRPr="00620EA6">
              <w:rPr>
                <w:rFonts w:ascii="Times New Roman" w:hAnsi="Times New Roman"/>
                <w:b/>
                <w:bCs/>
                <w:sz w:val="24"/>
                <w:lang w:eastAsia="de-DE"/>
              </w:rPr>
              <w:t>€20,000</w:t>
            </w:r>
          </w:p>
          <w:p w14:paraId="0317CC6B" w14:textId="2731969A" w:rsidR="003F3AF1" w:rsidRPr="00620EA6" w:rsidRDefault="003F3AF1" w:rsidP="003F3AF1">
            <w:pPr>
              <w:jc w:val="left"/>
              <w:rPr>
                <w:rFonts w:ascii="Times New Roman" w:hAnsi="Times New Roman"/>
                <w:bCs/>
                <w:sz w:val="24"/>
                <w:lang w:eastAsia="nl-BE"/>
              </w:rPr>
            </w:pPr>
            <w:r w:rsidRPr="00620EA6">
              <w:rPr>
                <w:rFonts w:ascii="Times New Roman" w:hAnsi="Times New Roman"/>
                <w:sz w:val="24"/>
                <w:lang w:eastAsia="de-DE"/>
              </w:rPr>
              <w:t>0125,</w:t>
            </w:r>
            <w:r w:rsidRPr="00620EA6">
              <w:rPr>
                <w:rFonts w:ascii="Times New Roman" w:hAnsi="Times New Roman"/>
                <w:bCs/>
                <w:sz w:val="24"/>
                <w:lang w:eastAsia="nl-BE"/>
              </w:rPr>
              <w:t xml:space="preserve"> 0225, 0325, 0425, 0525, 0625, 0725, 0825</w:t>
            </w:r>
          </w:p>
          <w:p w14:paraId="4309E935" w14:textId="77777777" w:rsidR="003F3AF1" w:rsidRPr="00620EA6" w:rsidRDefault="003F3AF1" w:rsidP="003F3AF1">
            <w:pPr>
              <w:rPr>
                <w:rFonts w:ascii="Times New Roman" w:hAnsi="Times New Roman"/>
                <w:b/>
                <w:bCs/>
                <w:sz w:val="24"/>
                <w:lang w:eastAsia="de-DE"/>
              </w:rPr>
            </w:pPr>
            <w:r w:rsidRPr="00620EA6">
              <w:rPr>
                <w:rFonts w:ascii="Times New Roman" w:hAnsi="Times New Roman"/>
                <w:b/>
                <w:bCs/>
                <w:sz w:val="24"/>
                <w:lang w:eastAsia="de-DE"/>
              </w:rPr>
              <w:t>€100,000</w:t>
            </w:r>
          </w:p>
          <w:p w14:paraId="3D8D87B7" w14:textId="112E7735" w:rsidR="003F3AF1" w:rsidRPr="00620EA6" w:rsidRDefault="003F3AF1" w:rsidP="003F3AF1">
            <w:pPr>
              <w:rPr>
                <w:rFonts w:ascii="Times New Roman" w:hAnsi="Times New Roman"/>
                <w:sz w:val="24"/>
                <w:lang w:eastAsia="de-DE"/>
              </w:rPr>
            </w:pPr>
            <w:r w:rsidRPr="00620EA6">
              <w:rPr>
                <w:rFonts w:ascii="Times New Roman" w:hAnsi="Times New Roman"/>
                <w:bCs/>
                <w:sz w:val="24"/>
                <w:lang w:eastAsia="nl-BE"/>
              </w:rPr>
              <w:lastRenderedPageBreak/>
              <w:t>0170, 0270, 0370, 0470, 0570, 0670, 0770, 0870</w:t>
            </w:r>
          </w:p>
        </w:tc>
        <w:tc>
          <w:tcPr>
            <w:tcW w:w="7789" w:type="dxa"/>
          </w:tcPr>
          <w:p w14:paraId="303042E3" w14:textId="6876C291" w:rsidR="003F3AF1" w:rsidRPr="00620EA6" w:rsidRDefault="003F3AF1" w:rsidP="003F3AF1">
            <w:pPr>
              <w:rPr>
                <w:rStyle w:val="InstructionsTabelleberschrift"/>
                <w:rFonts w:ascii="Times New Roman" w:hAnsi="Times New Roman"/>
                <w:sz w:val="24"/>
                <w:lang w:eastAsia="es-ES"/>
              </w:rPr>
            </w:pPr>
            <w:r w:rsidRPr="00620EA6">
              <w:rPr>
                <w:rStyle w:val="InstructionsTabelleberschrift"/>
                <w:rFonts w:ascii="Times New Roman" w:hAnsi="Times New Roman"/>
                <w:sz w:val="24"/>
                <w:lang w:eastAsia="es-ES"/>
              </w:rPr>
              <w:lastRenderedPageBreak/>
              <w:t xml:space="preserve">Loss </w:t>
            </w:r>
            <w:r w:rsidRPr="00620EA6">
              <w:rPr>
                <w:rStyle w:val="InstructionsTabelleberschrift"/>
                <w:rFonts w:ascii="Times New Roman" w:hAnsi="Times New Roman"/>
                <w:sz w:val="24"/>
              </w:rPr>
              <w:t>adjustments</w:t>
            </w:r>
          </w:p>
          <w:p w14:paraId="4682D2C2" w14:textId="378FE462" w:rsidR="003F3AF1" w:rsidRPr="00620EA6" w:rsidRDefault="003F3AF1" w:rsidP="003F3AF1">
            <w:pPr>
              <w:rPr>
                <w:rFonts w:ascii="Times New Roman" w:hAnsi="Times New Roman"/>
                <w:sz w:val="24"/>
                <w:lang w:eastAsia="de-DE"/>
              </w:rPr>
            </w:pPr>
            <w:r w:rsidRPr="00620EA6">
              <w:rPr>
                <w:rFonts w:ascii="Times New Roman" w:hAnsi="Times New Roman"/>
                <w:sz w:val="24"/>
                <w:lang w:eastAsia="de-DE"/>
              </w:rPr>
              <w:t xml:space="preserve">Loss adjustments </w:t>
            </w:r>
            <w:proofErr w:type="gramStart"/>
            <w:r w:rsidRPr="00620EA6">
              <w:rPr>
                <w:rFonts w:ascii="Times New Roman" w:hAnsi="Times New Roman"/>
                <w:sz w:val="24"/>
                <w:lang w:eastAsia="de-DE"/>
              </w:rPr>
              <w:t>i</w:t>
            </w:r>
            <w:r w:rsidRPr="00620EA6">
              <w:rPr>
                <w:lang w:eastAsia="de-DE"/>
              </w:rPr>
              <w:t>s</w:t>
            </w:r>
            <w:proofErr w:type="gramEnd"/>
            <w:r w:rsidRPr="00620EA6">
              <w:rPr>
                <w:rFonts w:ascii="Times New Roman" w:hAnsi="Times New Roman"/>
                <w:sz w:val="24"/>
                <w:lang w:eastAsia="de-DE"/>
              </w:rPr>
              <w:t xml:space="preserve"> the sum of the following elements (positive or negative):</w:t>
            </w:r>
          </w:p>
          <w:p w14:paraId="23DC4394" w14:textId="64A89DE0" w:rsidR="003F3AF1" w:rsidRPr="00620EA6" w:rsidRDefault="003F3AF1" w:rsidP="003F3AF1">
            <w:pPr>
              <w:tabs>
                <w:tab w:val="left" w:pos="459"/>
              </w:tabs>
              <w:ind w:left="459" w:hanging="459"/>
              <w:rPr>
                <w:rFonts w:ascii="Times New Roman" w:hAnsi="Times New Roman"/>
                <w:sz w:val="24"/>
                <w:lang w:eastAsia="de-DE"/>
              </w:rPr>
            </w:pPr>
            <w:r w:rsidRPr="00620EA6">
              <w:rPr>
                <w:rFonts w:ascii="Times New Roman" w:hAnsi="Times New Roman"/>
                <w:sz w:val="24"/>
                <w:lang w:eastAsia="de-DE"/>
              </w:rPr>
              <w:t>(i)</w:t>
            </w:r>
            <w:r w:rsidRPr="00620EA6">
              <w:tab/>
            </w:r>
            <w:r w:rsidRPr="00620EA6">
              <w:rPr>
                <w:rFonts w:ascii="Times New Roman" w:hAnsi="Times New Roman"/>
                <w:sz w:val="24"/>
                <w:lang w:eastAsia="de-DE"/>
              </w:rPr>
              <w:t xml:space="preserve">the gross loss amounts pertinent to positive loss adjustments made in the relevant financial year over the last 10 </w:t>
            </w:r>
            <w:r w:rsidR="00320DC6" w:rsidRPr="00620EA6">
              <w:rPr>
                <w:rFonts w:ascii="Times New Roman" w:hAnsi="Times New Roman"/>
                <w:sz w:val="24"/>
                <w:lang w:eastAsia="de-DE"/>
              </w:rPr>
              <w:t xml:space="preserve">financial </w:t>
            </w:r>
            <w:r w:rsidRPr="00620EA6">
              <w:rPr>
                <w:rFonts w:ascii="Times New Roman" w:hAnsi="Times New Roman"/>
                <w:sz w:val="24"/>
                <w:lang w:eastAsia="de-DE"/>
              </w:rPr>
              <w:t>years (e.g. increase of provisions, linked loss events, additional settlements) of operational risk events “accounted for the first time” in previous financial years</w:t>
            </w:r>
            <w:r w:rsidR="00EA4844" w:rsidRPr="00620EA6">
              <w:rPr>
                <w:rFonts w:ascii="Times New Roman" w:hAnsi="Times New Roman"/>
                <w:sz w:val="24"/>
                <w:lang w:eastAsia="de-DE"/>
              </w:rPr>
              <w:t xml:space="preserve"> (i.e. even before the last 10 financial years</w:t>
            </w:r>
            <w:proofErr w:type="gramStart"/>
            <w:r w:rsidR="00EA4844" w:rsidRPr="00620EA6">
              <w:rPr>
                <w:rFonts w:ascii="Times New Roman" w:hAnsi="Times New Roman"/>
                <w:sz w:val="24"/>
                <w:lang w:eastAsia="de-DE"/>
              </w:rPr>
              <w:t>)</w:t>
            </w:r>
            <w:r w:rsidRPr="00620EA6">
              <w:rPr>
                <w:rFonts w:ascii="Times New Roman" w:hAnsi="Times New Roman"/>
                <w:sz w:val="24"/>
                <w:lang w:eastAsia="de-DE"/>
              </w:rPr>
              <w:t>;</w:t>
            </w:r>
            <w:proofErr w:type="gramEnd"/>
          </w:p>
          <w:p w14:paraId="54195C35" w14:textId="734B8868" w:rsidR="003F3AF1" w:rsidRPr="00620EA6" w:rsidRDefault="003F3AF1" w:rsidP="003F3AF1">
            <w:pPr>
              <w:tabs>
                <w:tab w:val="left" w:pos="459"/>
              </w:tabs>
              <w:ind w:left="459" w:hanging="459"/>
              <w:rPr>
                <w:rFonts w:ascii="Times New Roman" w:hAnsi="Times New Roman"/>
                <w:sz w:val="24"/>
                <w:lang w:eastAsia="de-DE"/>
              </w:rPr>
            </w:pPr>
            <w:r w:rsidRPr="00562EA4">
              <w:rPr>
                <w:rFonts w:ascii="Times New Roman" w:hAnsi="Times New Roman"/>
                <w:sz w:val="24"/>
                <w:lang w:eastAsia="de-DE"/>
              </w:rPr>
              <w:lastRenderedPageBreak/>
              <w:t>(ii)</w:t>
            </w:r>
            <w:r w:rsidRPr="00562EA4">
              <w:tab/>
            </w:r>
            <w:r w:rsidRPr="00562EA4">
              <w:rPr>
                <w:rFonts w:ascii="Times New Roman" w:hAnsi="Times New Roman"/>
                <w:sz w:val="24"/>
                <w:lang w:eastAsia="de-DE"/>
              </w:rPr>
              <w:t xml:space="preserve">the gross loss amounts pertinent to negative loss adjustments made in the relevant financial year over the last 10 </w:t>
            </w:r>
            <w:r w:rsidR="00A52DCF" w:rsidRPr="00562EA4">
              <w:rPr>
                <w:rFonts w:ascii="Times New Roman" w:hAnsi="Times New Roman"/>
                <w:sz w:val="24"/>
                <w:lang w:eastAsia="de-DE"/>
              </w:rPr>
              <w:t xml:space="preserve">financial </w:t>
            </w:r>
            <w:r w:rsidRPr="00562EA4">
              <w:rPr>
                <w:rFonts w:ascii="Times New Roman" w:hAnsi="Times New Roman"/>
                <w:sz w:val="24"/>
                <w:lang w:eastAsia="de-DE"/>
              </w:rPr>
              <w:t>years (e.g. decrease of provisions) of operational risk loss events “accounted for the first time” in previous financial years</w:t>
            </w:r>
            <w:r w:rsidR="00EA4844" w:rsidRPr="00562EA4">
              <w:rPr>
                <w:rFonts w:ascii="Times New Roman" w:hAnsi="Times New Roman"/>
                <w:sz w:val="24"/>
                <w:lang w:eastAsia="de-DE"/>
              </w:rPr>
              <w:t xml:space="preserve"> (i.e. even before the last 10 financial years)</w:t>
            </w:r>
            <w:r w:rsidRPr="00562EA4">
              <w:rPr>
                <w:rFonts w:ascii="Times New Roman" w:hAnsi="Times New Roman"/>
                <w:sz w:val="24"/>
                <w:lang w:eastAsia="de-DE"/>
              </w:rPr>
              <w:t>.</w:t>
            </w:r>
            <w:r w:rsidRPr="00620EA6">
              <w:rPr>
                <w:rFonts w:ascii="Times New Roman" w:hAnsi="Times New Roman"/>
                <w:sz w:val="24"/>
                <w:lang w:eastAsia="de-DE"/>
              </w:rPr>
              <w:t xml:space="preserve"> </w:t>
            </w:r>
          </w:p>
          <w:p w14:paraId="6BF3361E" w14:textId="4D01A263" w:rsidR="003F3AF1" w:rsidRPr="00620EA6" w:rsidRDefault="003F3AF1" w:rsidP="003F3AF1">
            <w:pPr>
              <w:rPr>
                <w:rFonts w:ascii="Times New Roman" w:hAnsi="Times New Roman"/>
                <w:sz w:val="24"/>
                <w:lang w:eastAsia="de-DE"/>
              </w:rPr>
            </w:pPr>
            <w:r w:rsidRPr="00620EA6">
              <w:rPr>
                <w:rFonts w:ascii="Times New Roman" w:hAnsi="Times New Roman"/>
                <w:sz w:val="24"/>
                <w:lang w:eastAsia="de-DE"/>
              </w:rPr>
              <w:t xml:space="preserve">Where more than one loss adjustment was made for a loss event in a certain financial year, the amounts of all those loss adjustments shall be summed up, </w:t>
            </w:r>
            <w:proofErr w:type="gramStart"/>
            <w:r w:rsidRPr="00620EA6">
              <w:rPr>
                <w:rFonts w:ascii="Times New Roman" w:hAnsi="Times New Roman"/>
                <w:sz w:val="24"/>
                <w:lang w:eastAsia="de-DE"/>
              </w:rPr>
              <w:t>taking into account</w:t>
            </w:r>
            <w:proofErr w:type="gramEnd"/>
            <w:r w:rsidRPr="00620EA6">
              <w:rPr>
                <w:rFonts w:ascii="Times New Roman" w:hAnsi="Times New Roman"/>
                <w:sz w:val="24"/>
                <w:lang w:eastAsia="de-DE"/>
              </w:rPr>
              <w:t xml:space="preserve"> the sign of the adjustments (positive, negative). That sum shall be considered as the loss adjustment for that loss event for that financial year.</w:t>
            </w:r>
          </w:p>
          <w:p w14:paraId="419739B4" w14:textId="4F8BCEA9" w:rsidR="003F3AF1" w:rsidRPr="00620EA6" w:rsidRDefault="003F3AF1" w:rsidP="003F3AF1">
            <w:pPr>
              <w:tabs>
                <w:tab w:val="left" w:pos="2370"/>
              </w:tabs>
              <w:rPr>
                <w:rFonts w:ascii="Times New Roman" w:hAnsi="Times New Roman"/>
                <w:sz w:val="24"/>
                <w:lang w:eastAsia="de-DE"/>
              </w:rPr>
            </w:pPr>
            <w:r w:rsidRPr="00620EA6">
              <w:rPr>
                <w:rFonts w:ascii="Times New Roman" w:hAnsi="Times New Roman"/>
                <w:sz w:val="24"/>
                <w:lang w:eastAsia="de-DE"/>
              </w:rPr>
              <w:t xml:space="preserve">The impact of a loss adjustment on a particular financial year may be smaller than the reporting EUR 20,000 or EUR 100,000 threshold, but these impacts should still be reported in this row if the net aggregate impact of the loss over the last 10 </w:t>
            </w:r>
            <w:r w:rsidR="00A52DCF" w:rsidRPr="00620EA6">
              <w:rPr>
                <w:rFonts w:ascii="Times New Roman" w:hAnsi="Times New Roman"/>
                <w:sz w:val="24"/>
                <w:lang w:eastAsia="de-DE"/>
              </w:rPr>
              <w:t xml:space="preserve">financial </w:t>
            </w:r>
            <w:r w:rsidRPr="00620EA6">
              <w:rPr>
                <w:rFonts w:ascii="Times New Roman" w:hAnsi="Times New Roman"/>
                <w:sz w:val="24"/>
                <w:lang w:eastAsia="de-DE"/>
              </w:rPr>
              <w:t>years, as indicated in the rows above (“Number of loss events (new events)” or “Number of loss events subject to loss adjustments”) is above the appropriate reporting threshold.</w:t>
            </w:r>
          </w:p>
          <w:p w14:paraId="799C43FB" w14:textId="528C148F" w:rsidR="003F3AF1" w:rsidRPr="00620EA6" w:rsidRDefault="003F3AF1" w:rsidP="003F3AF1">
            <w:pPr>
              <w:tabs>
                <w:tab w:val="left" w:pos="2370"/>
              </w:tabs>
              <w:rPr>
                <w:rStyle w:val="InstructionsTabelleberschrift"/>
                <w:rFonts w:ascii="Times New Roman" w:hAnsi="Times New Roman"/>
                <w:sz w:val="24"/>
              </w:rPr>
            </w:pPr>
            <w:r w:rsidRPr="00620EA6">
              <w:rPr>
                <w:rFonts w:ascii="Times New Roman" w:hAnsi="Times New Roman"/>
                <w:sz w:val="24"/>
                <w:lang w:eastAsia="de-DE"/>
              </w:rPr>
              <w:t xml:space="preserve">The amounts to be reported shall not </w:t>
            </w:r>
            <w:proofErr w:type="gramStart"/>
            <w:r w:rsidRPr="00620EA6">
              <w:rPr>
                <w:rFonts w:ascii="Times New Roman" w:hAnsi="Times New Roman"/>
                <w:sz w:val="24"/>
                <w:lang w:eastAsia="de-DE"/>
              </w:rPr>
              <w:t>take into account</w:t>
            </w:r>
            <w:proofErr w:type="gramEnd"/>
            <w:r w:rsidRPr="00620EA6">
              <w:rPr>
                <w:rFonts w:ascii="Times New Roman" w:hAnsi="Times New Roman"/>
                <w:sz w:val="24"/>
                <w:lang w:eastAsia="de-DE"/>
              </w:rPr>
              <w:t xml:space="preserve"> obtained recoveries.</w:t>
            </w:r>
          </w:p>
        </w:tc>
      </w:tr>
      <w:tr w:rsidR="003F3AF1" w:rsidRPr="00620EA6" w14:paraId="29E4F743" w14:textId="77777777" w:rsidTr="008935EB">
        <w:tc>
          <w:tcPr>
            <w:tcW w:w="1273" w:type="dxa"/>
          </w:tcPr>
          <w:p w14:paraId="206F229C" w14:textId="77777777" w:rsidR="003F3AF1" w:rsidRPr="00620EA6" w:rsidRDefault="003F3AF1" w:rsidP="003F3AF1">
            <w:pPr>
              <w:rPr>
                <w:rFonts w:ascii="Times New Roman" w:hAnsi="Times New Roman"/>
                <w:b/>
                <w:bCs/>
                <w:sz w:val="24"/>
                <w:lang w:eastAsia="de-DE"/>
              </w:rPr>
            </w:pPr>
            <w:r w:rsidRPr="00620EA6">
              <w:rPr>
                <w:rFonts w:ascii="Times New Roman" w:hAnsi="Times New Roman"/>
                <w:b/>
                <w:bCs/>
                <w:sz w:val="24"/>
                <w:lang w:eastAsia="de-DE"/>
              </w:rPr>
              <w:lastRenderedPageBreak/>
              <w:t>€20,000</w:t>
            </w:r>
          </w:p>
          <w:p w14:paraId="628F82D3" w14:textId="1DF74A8A" w:rsidR="003F3AF1" w:rsidRPr="00620EA6" w:rsidRDefault="003F3AF1" w:rsidP="003F3AF1">
            <w:pPr>
              <w:jc w:val="left"/>
              <w:rPr>
                <w:rFonts w:ascii="Times New Roman" w:hAnsi="Times New Roman"/>
                <w:bCs/>
                <w:sz w:val="24"/>
                <w:lang w:eastAsia="nl-BE"/>
              </w:rPr>
            </w:pPr>
            <w:r w:rsidRPr="00620EA6">
              <w:rPr>
                <w:rFonts w:ascii="Times New Roman" w:hAnsi="Times New Roman"/>
                <w:sz w:val="24"/>
                <w:lang w:eastAsia="de-DE"/>
              </w:rPr>
              <w:t>0130,</w:t>
            </w:r>
            <w:r w:rsidRPr="00620EA6">
              <w:rPr>
                <w:rFonts w:ascii="Times New Roman" w:hAnsi="Times New Roman"/>
                <w:bCs/>
                <w:sz w:val="24"/>
                <w:lang w:eastAsia="nl-BE"/>
              </w:rPr>
              <w:t xml:space="preserve"> 0230, 0330, 0430, 0530, 0630, 0730, 0830</w:t>
            </w:r>
          </w:p>
          <w:p w14:paraId="369AD5C9" w14:textId="77777777" w:rsidR="003F3AF1" w:rsidRPr="00620EA6" w:rsidRDefault="003F3AF1" w:rsidP="003F3AF1">
            <w:pPr>
              <w:rPr>
                <w:rFonts w:ascii="Times New Roman" w:hAnsi="Times New Roman"/>
                <w:b/>
                <w:bCs/>
                <w:sz w:val="24"/>
                <w:lang w:eastAsia="de-DE"/>
              </w:rPr>
            </w:pPr>
            <w:r w:rsidRPr="00620EA6">
              <w:rPr>
                <w:rFonts w:ascii="Times New Roman" w:hAnsi="Times New Roman"/>
                <w:b/>
                <w:bCs/>
                <w:sz w:val="24"/>
                <w:lang w:eastAsia="de-DE"/>
              </w:rPr>
              <w:t>€100,000</w:t>
            </w:r>
          </w:p>
          <w:p w14:paraId="58E31F4D" w14:textId="67F5ABA8" w:rsidR="003F3AF1" w:rsidRPr="00620EA6" w:rsidRDefault="003F3AF1" w:rsidP="003F3AF1">
            <w:pPr>
              <w:rPr>
                <w:rFonts w:ascii="Times New Roman" w:hAnsi="Times New Roman"/>
                <w:sz w:val="24"/>
                <w:lang w:eastAsia="de-DE"/>
              </w:rPr>
            </w:pPr>
            <w:r w:rsidRPr="00620EA6">
              <w:rPr>
                <w:rFonts w:ascii="Times New Roman" w:hAnsi="Times New Roman"/>
                <w:bCs/>
                <w:sz w:val="24"/>
                <w:lang w:eastAsia="nl-BE"/>
              </w:rPr>
              <w:t>0175, 0275, 0375, 0475, 0575, 0675, 0775, 0875</w:t>
            </w:r>
          </w:p>
        </w:tc>
        <w:tc>
          <w:tcPr>
            <w:tcW w:w="7789" w:type="dxa"/>
          </w:tcPr>
          <w:p w14:paraId="5CAE4F27" w14:textId="77777777" w:rsidR="003F3AF1" w:rsidRPr="00620EA6" w:rsidRDefault="003F3AF1" w:rsidP="003F3AF1">
            <w:pPr>
              <w:rPr>
                <w:rStyle w:val="InstructionsTabelleberschrift"/>
                <w:rFonts w:ascii="Times New Roman" w:hAnsi="Times New Roman"/>
                <w:sz w:val="24"/>
                <w:lang w:eastAsia="es-ES_tradnl"/>
              </w:rPr>
            </w:pPr>
            <w:r w:rsidRPr="00620EA6">
              <w:rPr>
                <w:rStyle w:val="InstructionsTabelleberschrift"/>
                <w:rFonts w:ascii="Times New Roman" w:hAnsi="Times New Roman"/>
                <w:sz w:val="24"/>
                <w:lang w:eastAsia="es-ES_tradnl"/>
              </w:rPr>
              <w:t xml:space="preserve">Maximum </w:t>
            </w:r>
            <w:r w:rsidRPr="00620EA6">
              <w:rPr>
                <w:rStyle w:val="InstructionsTabelleberschrift"/>
                <w:rFonts w:ascii="Times New Roman" w:hAnsi="Times New Roman"/>
                <w:sz w:val="24"/>
              </w:rPr>
              <w:t>single</w:t>
            </w:r>
            <w:r w:rsidRPr="00620EA6">
              <w:rPr>
                <w:rStyle w:val="InstructionsTabelleberschrift"/>
                <w:rFonts w:ascii="Times New Roman" w:hAnsi="Times New Roman"/>
                <w:sz w:val="24"/>
                <w:lang w:eastAsia="es-ES_tradnl"/>
              </w:rPr>
              <w:t xml:space="preserve"> loss</w:t>
            </w:r>
          </w:p>
          <w:p w14:paraId="261F6CA7" w14:textId="7989E9C2" w:rsidR="003F3AF1" w:rsidRPr="00620EA6" w:rsidRDefault="003F3AF1" w:rsidP="003F3AF1">
            <w:pPr>
              <w:rPr>
                <w:rFonts w:ascii="Times New Roman" w:hAnsi="Times New Roman"/>
                <w:sz w:val="24"/>
                <w:lang w:eastAsia="de-DE"/>
              </w:rPr>
            </w:pPr>
            <w:r w:rsidRPr="00620EA6">
              <w:rPr>
                <w:rFonts w:ascii="Times New Roman" w:hAnsi="Times New Roman"/>
                <w:sz w:val="24"/>
                <w:lang w:eastAsia="de-DE"/>
              </w:rPr>
              <w:t xml:space="preserve">The maximum single loss in a certain financial year over the last 10 </w:t>
            </w:r>
            <w:r w:rsidR="00320DC6" w:rsidRPr="00620EA6">
              <w:rPr>
                <w:rFonts w:ascii="Times New Roman" w:hAnsi="Times New Roman"/>
                <w:sz w:val="24"/>
                <w:lang w:eastAsia="de-DE"/>
              </w:rPr>
              <w:t xml:space="preserve">financial </w:t>
            </w:r>
            <w:r w:rsidRPr="00620EA6">
              <w:rPr>
                <w:rFonts w:ascii="Times New Roman" w:hAnsi="Times New Roman"/>
                <w:sz w:val="24"/>
                <w:lang w:eastAsia="de-DE"/>
              </w:rPr>
              <w:t>years is the larger of:</w:t>
            </w:r>
          </w:p>
          <w:p w14:paraId="1E980236" w14:textId="4D5933DF" w:rsidR="003F3AF1" w:rsidRPr="00620EA6" w:rsidRDefault="003F3AF1" w:rsidP="003F3AF1">
            <w:pPr>
              <w:tabs>
                <w:tab w:val="left" w:pos="459"/>
              </w:tabs>
              <w:ind w:left="459" w:hanging="459"/>
              <w:rPr>
                <w:rFonts w:ascii="Times New Roman" w:hAnsi="Times New Roman"/>
                <w:sz w:val="24"/>
                <w:lang w:eastAsia="de-DE"/>
              </w:rPr>
            </w:pPr>
            <w:r w:rsidRPr="00620EA6">
              <w:rPr>
                <w:rFonts w:ascii="Times New Roman" w:hAnsi="Times New Roman"/>
                <w:sz w:val="24"/>
                <w:lang w:eastAsia="de-DE"/>
              </w:rPr>
              <w:t>(i)</w:t>
            </w:r>
            <w:r w:rsidRPr="00620EA6">
              <w:tab/>
            </w:r>
            <w:r w:rsidRPr="00620EA6">
              <w:rPr>
                <w:rFonts w:ascii="Times New Roman" w:hAnsi="Times New Roman"/>
                <w:sz w:val="24"/>
                <w:lang w:eastAsia="de-DE"/>
              </w:rPr>
              <w:t>the largest gross loss amount related to a loss event “accounted for the first time” in that financial year; and</w:t>
            </w:r>
          </w:p>
          <w:p w14:paraId="4899864B" w14:textId="0708DD9C" w:rsidR="003F3AF1" w:rsidRPr="00620EA6" w:rsidRDefault="003F3AF1" w:rsidP="003F3AF1">
            <w:pPr>
              <w:tabs>
                <w:tab w:val="left" w:pos="459"/>
              </w:tabs>
              <w:ind w:left="459" w:hanging="459"/>
              <w:rPr>
                <w:rFonts w:ascii="Times New Roman" w:hAnsi="Times New Roman"/>
                <w:sz w:val="24"/>
                <w:lang w:eastAsia="de-DE"/>
              </w:rPr>
            </w:pPr>
            <w:r w:rsidRPr="00620EA6">
              <w:rPr>
                <w:rFonts w:ascii="Times New Roman" w:hAnsi="Times New Roman"/>
                <w:sz w:val="24"/>
                <w:lang w:eastAsia="de-DE"/>
              </w:rPr>
              <w:t>(ii)</w:t>
            </w:r>
            <w:r w:rsidRPr="00620EA6">
              <w:tab/>
            </w:r>
            <w:r w:rsidRPr="00620EA6">
              <w:rPr>
                <w:rFonts w:ascii="Times New Roman" w:hAnsi="Times New Roman"/>
                <w:sz w:val="24"/>
                <w:lang w:eastAsia="de-DE"/>
              </w:rPr>
              <w:t>the largest positive loss adjustment amount (as referred to in the row above) related to a loss event “accounted for the first time” in previous financial years.</w:t>
            </w:r>
          </w:p>
          <w:p w14:paraId="1C349FD9" w14:textId="44C1B952" w:rsidR="003F3AF1" w:rsidRPr="00620EA6" w:rsidRDefault="003F3AF1" w:rsidP="003F3AF1">
            <w:pPr>
              <w:rPr>
                <w:rStyle w:val="InstructionsTabelleberschrift"/>
                <w:rFonts w:ascii="Times New Roman" w:hAnsi="Times New Roman"/>
                <w:sz w:val="24"/>
              </w:rPr>
            </w:pPr>
            <w:r w:rsidRPr="00620EA6">
              <w:rPr>
                <w:rFonts w:ascii="Times New Roman" w:hAnsi="Times New Roman"/>
                <w:sz w:val="24"/>
                <w:lang w:eastAsia="de-DE"/>
              </w:rPr>
              <w:t xml:space="preserve">The amounts to be reported shall not </w:t>
            </w:r>
            <w:proofErr w:type="gramStart"/>
            <w:r w:rsidRPr="00620EA6">
              <w:rPr>
                <w:rFonts w:ascii="Times New Roman" w:hAnsi="Times New Roman"/>
                <w:sz w:val="24"/>
                <w:lang w:eastAsia="de-DE"/>
              </w:rPr>
              <w:t>take into account</w:t>
            </w:r>
            <w:proofErr w:type="gramEnd"/>
            <w:r w:rsidRPr="00620EA6">
              <w:rPr>
                <w:rFonts w:ascii="Times New Roman" w:hAnsi="Times New Roman"/>
                <w:sz w:val="24"/>
                <w:lang w:eastAsia="de-DE"/>
              </w:rPr>
              <w:t xml:space="preserve"> obtained recoveries.</w:t>
            </w:r>
          </w:p>
        </w:tc>
      </w:tr>
      <w:tr w:rsidR="003F3AF1" w:rsidRPr="00620EA6" w14:paraId="27DB961D" w14:textId="77777777" w:rsidTr="008935EB">
        <w:tc>
          <w:tcPr>
            <w:tcW w:w="1273" w:type="dxa"/>
          </w:tcPr>
          <w:p w14:paraId="74EEBAF9" w14:textId="77777777" w:rsidR="003F3AF1" w:rsidRPr="00620EA6" w:rsidRDefault="003F3AF1" w:rsidP="003F3AF1">
            <w:pPr>
              <w:rPr>
                <w:rFonts w:ascii="Times New Roman" w:hAnsi="Times New Roman"/>
                <w:b/>
                <w:bCs/>
                <w:sz w:val="24"/>
                <w:lang w:eastAsia="de-DE"/>
              </w:rPr>
            </w:pPr>
            <w:r w:rsidRPr="00620EA6">
              <w:rPr>
                <w:rFonts w:ascii="Times New Roman" w:hAnsi="Times New Roman"/>
                <w:b/>
                <w:bCs/>
                <w:sz w:val="24"/>
                <w:lang w:eastAsia="de-DE"/>
              </w:rPr>
              <w:t>€20,000</w:t>
            </w:r>
          </w:p>
          <w:p w14:paraId="0587E9C8" w14:textId="67871243" w:rsidR="003F3AF1" w:rsidRPr="00620EA6" w:rsidRDefault="003F3AF1" w:rsidP="003F3AF1">
            <w:pPr>
              <w:jc w:val="left"/>
              <w:rPr>
                <w:rFonts w:ascii="Times New Roman" w:hAnsi="Times New Roman"/>
                <w:bCs/>
                <w:sz w:val="24"/>
                <w:lang w:eastAsia="nl-BE"/>
              </w:rPr>
            </w:pPr>
            <w:r w:rsidRPr="00620EA6">
              <w:rPr>
                <w:rFonts w:ascii="Times New Roman" w:hAnsi="Times New Roman"/>
                <w:sz w:val="24"/>
                <w:lang w:eastAsia="de-DE"/>
              </w:rPr>
              <w:t>0135,</w:t>
            </w:r>
            <w:r w:rsidRPr="00620EA6">
              <w:rPr>
                <w:rFonts w:ascii="Times New Roman" w:hAnsi="Times New Roman"/>
                <w:bCs/>
                <w:sz w:val="24"/>
                <w:lang w:eastAsia="nl-BE"/>
              </w:rPr>
              <w:t xml:space="preserve"> 0235, 0335, 0435, 0535, 0635, 0735, 0835</w:t>
            </w:r>
          </w:p>
          <w:p w14:paraId="4A2052EE" w14:textId="77777777" w:rsidR="003F3AF1" w:rsidRPr="00620EA6" w:rsidRDefault="003F3AF1" w:rsidP="003F3AF1">
            <w:pPr>
              <w:rPr>
                <w:rFonts w:ascii="Times New Roman" w:hAnsi="Times New Roman"/>
                <w:b/>
                <w:bCs/>
                <w:sz w:val="24"/>
                <w:lang w:eastAsia="de-DE"/>
              </w:rPr>
            </w:pPr>
            <w:r w:rsidRPr="00620EA6">
              <w:rPr>
                <w:rFonts w:ascii="Times New Roman" w:hAnsi="Times New Roman"/>
                <w:b/>
                <w:bCs/>
                <w:sz w:val="24"/>
                <w:lang w:eastAsia="de-DE"/>
              </w:rPr>
              <w:t>€100,000</w:t>
            </w:r>
          </w:p>
          <w:p w14:paraId="236D0BEC" w14:textId="0ECCA171" w:rsidR="003F3AF1" w:rsidRPr="00620EA6" w:rsidRDefault="003F3AF1" w:rsidP="003F3AF1">
            <w:pPr>
              <w:rPr>
                <w:rFonts w:ascii="Times New Roman" w:hAnsi="Times New Roman"/>
                <w:sz w:val="24"/>
                <w:lang w:eastAsia="de-DE"/>
              </w:rPr>
            </w:pPr>
            <w:r w:rsidRPr="00620EA6">
              <w:rPr>
                <w:rFonts w:ascii="Times New Roman" w:hAnsi="Times New Roman"/>
                <w:bCs/>
                <w:sz w:val="24"/>
                <w:lang w:eastAsia="nl-BE"/>
              </w:rPr>
              <w:lastRenderedPageBreak/>
              <w:t>0180, 0280, 0380, 0480, 0580, 0680, 0780, 0880</w:t>
            </w:r>
          </w:p>
        </w:tc>
        <w:tc>
          <w:tcPr>
            <w:tcW w:w="7789" w:type="dxa"/>
          </w:tcPr>
          <w:p w14:paraId="15C78DBB" w14:textId="77777777" w:rsidR="003F3AF1" w:rsidRPr="00620EA6" w:rsidRDefault="003F3AF1" w:rsidP="003F3AF1">
            <w:pPr>
              <w:rPr>
                <w:sz w:val="24"/>
                <w:lang w:eastAsia="de-DE"/>
              </w:rPr>
            </w:pPr>
            <w:r w:rsidRPr="00620EA6">
              <w:rPr>
                <w:rStyle w:val="InstructionsTabelleberschrift"/>
                <w:rFonts w:ascii="Times New Roman" w:hAnsi="Times New Roman"/>
                <w:sz w:val="24"/>
                <w:lang w:eastAsia="es-ES_tradnl"/>
              </w:rPr>
              <w:lastRenderedPageBreak/>
              <w:t xml:space="preserve">Total direct loss </w:t>
            </w:r>
            <w:r w:rsidRPr="00620EA6">
              <w:rPr>
                <w:rStyle w:val="InstructionsTabelleberschrift"/>
                <w:rFonts w:ascii="Times New Roman" w:hAnsi="Times New Roman"/>
                <w:sz w:val="24"/>
              </w:rPr>
              <w:t>recovery</w:t>
            </w:r>
          </w:p>
          <w:p w14:paraId="239500A6" w14:textId="72380945" w:rsidR="003F3AF1" w:rsidRPr="00620EA6" w:rsidRDefault="003F3AF1" w:rsidP="003F3AF1">
            <w:pPr>
              <w:rPr>
                <w:rFonts w:ascii="Times New Roman" w:hAnsi="Times New Roman"/>
                <w:sz w:val="24"/>
                <w:lang w:eastAsia="de-DE"/>
              </w:rPr>
            </w:pPr>
            <w:r w:rsidRPr="00620EA6">
              <w:rPr>
                <w:rFonts w:ascii="Times New Roman" w:hAnsi="Times New Roman"/>
                <w:sz w:val="24"/>
                <w:lang w:eastAsia="de-DE"/>
              </w:rPr>
              <w:t xml:space="preserve">Direct loss recoveries shall be all loss recoveries obtained, except those which are subject to insurance. </w:t>
            </w:r>
          </w:p>
          <w:p w14:paraId="26469F3F" w14:textId="79DC5D8C" w:rsidR="003F3AF1" w:rsidRPr="00620EA6" w:rsidRDefault="003F3AF1" w:rsidP="003F3AF1">
            <w:pPr>
              <w:rPr>
                <w:rFonts w:ascii="Times New Roman" w:hAnsi="Times New Roman"/>
                <w:sz w:val="24"/>
                <w:lang w:eastAsia="de-DE"/>
              </w:rPr>
            </w:pPr>
            <w:r w:rsidRPr="00620EA6">
              <w:rPr>
                <w:rFonts w:ascii="Times New Roman" w:hAnsi="Times New Roman"/>
                <w:sz w:val="24"/>
                <w:lang w:eastAsia="de-DE"/>
              </w:rPr>
              <w:t xml:space="preserve">The total direct loss recovery shall be the sum of all the direct recoveries and adjustments to direct recoveries accounted for in the relevant financial year over the last 10 </w:t>
            </w:r>
            <w:r w:rsidR="00141CAA" w:rsidRPr="00620EA6">
              <w:rPr>
                <w:rFonts w:ascii="Times New Roman" w:hAnsi="Times New Roman"/>
                <w:sz w:val="24"/>
                <w:lang w:eastAsia="de-DE"/>
              </w:rPr>
              <w:t xml:space="preserve">financial </w:t>
            </w:r>
            <w:r w:rsidRPr="00620EA6">
              <w:rPr>
                <w:rFonts w:ascii="Times New Roman" w:hAnsi="Times New Roman"/>
                <w:sz w:val="24"/>
                <w:lang w:eastAsia="de-DE"/>
              </w:rPr>
              <w:t>years and pertinent to operational risk loss events “accounted for the first time” in the relevant financial year or in previous financial years.</w:t>
            </w:r>
          </w:p>
          <w:p w14:paraId="296F2498" w14:textId="6778865D" w:rsidR="003F3AF1" w:rsidRPr="00620EA6" w:rsidRDefault="003F3AF1" w:rsidP="003F3AF1">
            <w:pPr>
              <w:rPr>
                <w:rStyle w:val="InstructionsTabelleberschrift"/>
                <w:rFonts w:ascii="Times New Roman" w:hAnsi="Times New Roman"/>
                <w:sz w:val="24"/>
              </w:rPr>
            </w:pPr>
          </w:p>
        </w:tc>
      </w:tr>
      <w:tr w:rsidR="003F3AF1" w:rsidRPr="00620EA6" w14:paraId="602B1926" w14:textId="77777777" w:rsidTr="008935EB">
        <w:tc>
          <w:tcPr>
            <w:tcW w:w="1273" w:type="dxa"/>
          </w:tcPr>
          <w:p w14:paraId="72BD6D56" w14:textId="77777777" w:rsidR="003F3AF1" w:rsidRPr="00620EA6" w:rsidRDefault="003F3AF1" w:rsidP="003F3AF1">
            <w:pPr>
              <w:rPr>
                <w:rFonts w:ascii="Times New Roman" w:hAnsi="Times New Roman"/>
                <w:b/>
                <w:bCs/>
                <w:sz w:val="24"/>
                <w:lang w:eastAsia="de-DE"/>
              </w:rPr>
            </w:pPr>
            <w:r w:rsidRPr="00620EA6">
              <w:rPr>
                <w:rFonts w:ascii="Times New Roman" w:hAnsi="Times New Roman"/>
                <w:b/>
                <w:bCs/>
                <w:sz w:val="24"/>
                <w:lang w:eastAsia="de-DE"/>
              </w:rPr>
              <w:t>€20,000</w:t>
            </w:r>
          </w:p>
          <w:p w14:paraId="681860CB" w14:textId="1F24F6B1" w:rsidR="003F3AF1" w:rsidRPr="00620EA6" w:rsidRDefault="003F3AF1" w:rsidP="003F3AF1">
            <w:pPr>
              <w:jc w:val="left"/>
              <w:rPr>
                <w:rFonts w:ascii="Times New Roman" w:hAnsi="Times New Roman"/>
                <w:bCs/>
                <w:sz w:val="24"/>
                <w:lang w:eastAsia="nl-BE"/>
              </w:rPr>
            </w:pPr>
            <w:r w:rsidRPr="00620EA6">
              <w:rPr>
                <w:rFonts w:ascii="Times New Roman" w:hAnsi="Times New Roman"/>
                <w:sz w:val="24"/>
                <w:lang w:eastAsia="de-DE"/>
              </w:rPr>
              <w:t>0140,</w:t>
            </w:r>
            <w:r w:rsidRPr="00620EA6">
              <w:rPr>
                <w:rFonts w:ascii="Times New Roman" w:hAnsi="Times New Roman"/>
                <w:bCs/>
                <w:sz w:val="24"/>
                <w:lang w:eastAsia="nl-BE"/>
              </w:rPr>
              <w:t xml:space="preserve"> 0240, 0340, 0440, 0540, 0640, 0740, 0840</w:t>
            </w:r>
          </w:p>
          <w:p w14:paraId="0A4642F6" w14:textId="77777777" w:rsidR="003F3AF1" w:rsidRPr="00620EA6" w:rsidRDefault="003F3AF1" w:rsidP="003F3AF1">
            <w:pPr>
              <w:rPr>
                <w:rFonts w:ascii="Times New Roman" w:hAnsi="Times New Roman"/>
                <w:b/>
                <w:bCs/>
                <w:sz w:val="24"/>
                <w:lang w:eastAsia="de-DE"/>
              </w:rPr>
            </w:pPr>
            <w:r w:rsidRPr="00620EA6">
              <w:rPr>
                <w:rFonts w:ascii="Times New Roman" w:hAnsi="Times New Roman"/>
                <w:b/>
                <w:bCs/>
                <w:sz w:val="24"/>
                <w:lang w:eastAsia="de-DE"/>
              </w:rPr>
              <w:t>€100,000</w:t>
            </w:r>
          </w:p>
          <w:p w14:paraId="2E1AA789" w14:textId="675801B8" w:rsidR="003F3AF1" w:rsidRPr="00620EA6" w:rsidRDefault="003F3AF1" w:rsidP="003F3AF1">
            <w:pPr>
              <w:rPr>
                <w:rFonts w:ascii="Times New Roman" w:hAnsi="Times New Roman"/>
                <w:sz w:val="24"/>
                <w:lang w:eastAsia="de-DE"/>
              </w:rPr>
            </w:pPr>
            <w:r w:rsidRPr="00620EA6">
              <w:rPr>
                <w:rFonts w:ascii="Times New Roman" w:hAnsi="Times New Roman"/>
                <w:bCs/>
                <w:sz w:val="24"/>
                <w:lang w:eastAsia="nl-BE"/>
              </w:rPr>
              <w:t>0185, 0285, 0385, 0485, 0585, 0685, 0785, 0885</w:t>
            </w:r>
          </w:p>
        </w:tc>
        <w:tc>
          <w:tcPr>
            <w:tcW w:w="7789" w:type="dxa"/>
          </w:tcPr>
          <w:p w14:paraId="588EE42D" w14:textId="77777777" w:rsidR="003F3AF1" w:rsidRPr="00620EA6" w:rsidRDefault="003F3AF1" w:rsidP="003F3AF1">
            <w:pPr>
              <w:rPr>
                <w:rStyle w:val="InstructionsTabelleberschrift"/>
                <w:rFonts w:ascii="Times New Roman" w:hAnsi="Times New Roman"/>
                <w:sz w:val="24"/>
                <w:lang w:eastAsia="es-ES_tradnl"/>
              </w:rPr>
            </w:pPr>
            <w:r w:rsidRPr="00620EA6">
              <w:rPr>
                <w:rStyle w:val="InstructionsTabelleberschrift"/>
                <w:rFonts w:ascii="Times New Roman" w:hAnsi="Times New Roman"/>
                <w:sz w:val="24"/>
                <w:lang w:eastAsia="es-ES_tradnl"/>
              </w:rPr>
              <w:t xml:space="preserve">Total </w:t>
            </w:r>
            <w:r w:rsidRPr="00620EA6">
              <w:rPr>
                <w:rStyle w:val="InstructionsTabelleberschrift"/>
                <w:rFonts w:ascii="Times New Roman" w:hAnsi="Times New Roman"/>
                <w:sz w:val="24"/>
              </w:rPr>
              <w:t>recovery</w:t>
            </w:r>
            <w:r w:rsidRPr="00620EA6">
              <w:rPr>
                <w:rStyle w:val="InstructionsTabelleberschrift"/>
                <w:rFonts w:ascii="Times New Roman" w:hAnsi="Times New Roman"/>
                <w:sz w:val="24"/>
                <w:lang w:eastAsia="es-ES_tradnl"/>
              </w:rPr>
              <w:t xml:space="preserve"> from insurance </w:t>
            </w:r>
          </w:p>
          <w:p w14:paraId="7CD475A0" w14:textId="16CCC97E" w:rsidR="003F3AF1" w:rsidRPr="00620EA6" w:rsidRDefault="003F3AF1" w:rsidP="003F3AF1">
            <w:pPr>
              <w:rPr>
                <w:rFonts w:ascii="Times New Roman" w:hAnsi="Times New Roman"/>
                <w:sz w:val="24"/>
                <w:lang w:eastAsia="de-DE"/>
              </w:rPr>
            </w:pPr>
            <w:r w:rsidRPr="00620EA6">
              <w:rPr>
                <w:rFonts w:ascii="Times New Roman" w:hAnsi="Times New Roman"/>
                <w:sz w:val="24"/>
                <w:lang w:eastAsia="de-DE"/>
              </w:rPr>
              <w:t xml:space="preserve">Recoveries from insurance shall be those recoveries obtained from insurance or re-insurance companies. </w:t>
            </w:r>
          </w:p>
          <w:p w14:paraId="4F99F3CF" w14:textId="3A199BC9" w:rsidR="003F3AF1" w:rsidRPr="00620EA6" w:rsidRDefault="003F3AF1" w:rsidP="003F3AF1">
            <w:pPr>
              <w:rPr>
                <w:rStyle w:val="InstructionsTabelleberschrift"/>
                <w:rFonts w:ascii="Times New Roman" w:hAnsi="Times New Roman"/>
                <w:sz w:val="24"/>
              </w:rPr>
            </w:pPr>
            <w:r w:rsidRPr="00620EA6">
              <w:rPr>
                <w:rFonts w:ascii="Times New Roman" w:hAnsi="Times New Roman"/>
                <w:sz w:val="24"/>
                <w:lang w:eastAsia="de-DE"/>
              </w:rPr>
              <w:t xml:space="preserve">The total recovery from insurance shall be the sum of all the insurance recoveries and adjustments to insurance recoveries accounted for in the relevant financial year over the last 10 </w:t>
            </w:r>
            <w:r w:rsidR="00141CAA" w:rsidRPr="00620EA6">
              <w:rPr>
                <w:rFonts w:ascii="Times New Roman" w:hAnsi="Times New Roman"/>
                <w:sz w:val="24"/>
                <w:lang w:eastAsia="de-DE"/>
              </w:rPr>
              <w:t xml:space="preserve">financial </w:t>
            </w:r>
            <w:r w:rsidRPr="00620EA6">
              <w:rPr>
                <w:rFonts w:ascii="Times New Roman" w:hAnsi="Times New Roman"/>
                <w:sz w:val="24"/>
                <w:lang w:eastAsia="de-DE"/>
              </w:rPr>
              <w:t>years and pertinent to operational risk loss events “accounted for the first time” in the relevant financial year or in previous financial years</w:t>
            </w:r>
          </w:p>
        </w:tc>
      </w:tr>
      <w:tr w:rsidR="000B6997" w:rsidRPr="00620EA6" w14:paraId="6AB70D11" w14:textId="77777777" w:rsidTr="008935EB">
        <w:tc>
          <w:tcPr>
            <w:tcW w:w="1273" w:type="dxa"/>
          </w:tcPr>
          <w:p w14:paraId="691D3541" w14:textId="77777777" w:rsidR="000B6997" w:rsidRPr="00620EA6" w:rsidRDefault="000B6997" w:rsidP="000B6997">
            <w:pPr>
              <w:rPr>
                <w:rFonts w:ascii="Times New Roman" w:hAnsi="Times New Roman"/>
                <w:b/>
                <w:bCs/>
                <w:sz w:val="24"/>
                <w:lang w:eastAsia="de-DE"/>
              </w:rPr>
            </w:pPr>
            <w:r w:rsidRPr="00620EA6">
              <w:rPr>
                <w:rFonts w:ascii="Times New Roman" w:hAnsi="Times New Roman"/>
                <w:b/>
                <w:bCs/>
                <w:sz w:val="24"/>
                <w:lang w:eastAsia="de-DE"/>
              </w:rPr>
              <w:t>€20,000</w:t>
            </w:r>
          </w:p>
          <w:p w14:paraId="2090FC45" w14:textId="2EE95801" w:rsidR="000B6997" w:rsidRPr="00620EA6" w:rsidRDefault="000B6997" w:rsidP="000B6997">
            <w:pPr>
              <w:jc w:val="left"/>
              <w:rPr>
                <w:rFonts w:ascii="Times New Roman" w:hAnsi="Times New Roman"/>
                <w:bCs/>
                <w:sz w:val="24"/>
                <w:lang w:eastAsia="nl-BE"/>
              </w:rPr>
            </w:pPr>
            <w:r w:rsidRPr="00620EA6">
              <w:rPr>
                <w:rFonts w:ascii="Times New Roman" w:hAnsi="Times New Roman"/>
                <w:sz w:val="24"/>
                <w:lang w:eastAsia="de-DE"/>
              </w:rPr>
              <w:t>0145,</w:t>
            </w:r>
            <w:r w:rsidRPr="00620EA6">
              <w:rPr>
                <w:rFonts w:ascii="Times New Roman" w:hAnsi="Times New Roman"/>
                <w:bCs/>
                <w:sz w:val="24"/>
                <w:lang w:eastAsia="nl-BE"/>
              </w:rPr>
              <w:t xml:space="preserve"> 0245, 0345, 0445, 0545, 0645, 0745, 0845</w:t>
            </w:r>
          </w:p>
          <w:p w14:paraId="752AADFE" w14:textId="77777777" w:rsidR="000B6997" w:rsidRPr="00620EA6" w:rsidRDefault="000B6997" w:rsidP="000B6997">
            <w:pPr>
              <w:rPr>
                <w:rFonts w:ascii="Times New Roman" w:hAnsi="Times New Roman"/>
                <w:b/>
                <w:bCs/>
                <w:sz w:val="24"/>
                <w:lang w:eastAsia="de-DE"/>
              </w:rPr>
            </w:pPr>
            <w:r w:rsidRPr="00620EA6">
              <w:rPr>
                <w:rFonts w:ascii="Times New Roman" w:hAnsi="Times New Roman"/>
                <w:b/>
                <w:bCs/>
                <w:sz w:val="24"/>
                <w:lang w:eastAsia="de-DE"/>
              </w:rPr>
              <w:t>€100,000</w:t>
            </w:r>
          </w:p>
          <w:p w14:paraId="0E7C09F2" w14:textId="12EA0BB2" w:rsidR="000B6997" w:rsidRPr="00620EA6" w:rsidRDefault="000B6997" w:rsidP="000B6997">
            <w:pPr>
              <w:rPr>
                <w:rFonts w:ascii="Times New Roman" w:hAnsi="Times New Roman"/>
                <w:bCs/>
                <w:sz w:val="24"/>
                <w:lang w:eastAsia="nl-BE"/>
              </w:rPr>
            </w:pPr>
            <w:r w:rsidRPr="00620EA6">
              <w:rPr>
                <w:rFonts w:ascii="Times New Roman" w:hAnsi="Times New Roman"/>
                <w:bCs/>
                <w:sz w:val="24"/>
                <w:lang w:eastAsia="nl-BE"/>
              </w:rPr>
              <w:t>0190, 0290, 0390, 0490, 0590, 0690, 0790, 0890</w:t>
            </w:r>
          </w:p>
        </w:tc>
        <w:tc>
          <w:tcPr>
            <w:tcW w:w="7789" w:type="dxa"/>
          </w:tcPr>
          <w:p w14:paraId="6C0C2AAA" w14:textId="60D9144D" w:rsidR="000B6997" w:rsidRPr="00620EA6" w:rsidRDefault="000B6997" w:rsidP="000B6997">
            <w:pPr>
              <w:rPr>
                <w:rStyle w:val="InstructionsTabelleberschrift"/>
                <w:rFonts w:ascii="Times New Roman" w:hAnsi="Times New Roman"/>
                <w:sz w:val="24"/>
                <w:lang w:eastAsia="es-ES_tradnl"/>
              </w:rPr>
            </w:pPr>
            <w:r w:rsidRPr="00620EA6">
              <w:rPr>
                <w:rStyle w:val="InstructionsTabelleberschrift"/>
                <w:rFonts w:ascii="Times New Roman" w:hAnsi="Times New Roman"/>
                <w:sz w:val="24"/>
                <w:lang w:eastAsia="es-ES_tradnl"/>
              </w:rPr>
              <w:t xml:space="preserve">Total net loss amount </w:t>
            </w:r>
          </w:p>
          <w:p w14:paraId="29CDA82E" w14:textId="619E6BF8" w:rsidR="000B6997" w:rsidRPr="00620EA6" w:rsidRDefault="000B6997" w:rsidP="000B6997">
            <w:pPr>
              <w:rPr>
                <w:rStyle w:val="InstructionsTabelleberschrift"/>
                <w:rFonts w:ascii="Times New Roman" w:hAnsi="Times New Roman"/>
                <w:sz w:val="24"/>
                <w:lang w:eastAsia="es-ES_tradnl"/>
              </w:rPr>
            </w:pPr>
            <w:r w:rsidRPr="00620EA6">
              <w:rPr>
                <w:rFonts w:ascii="Times New Roman" w:hAnsi="Times New Roman"/>
                <w:sz w:val="24"/>
                <w:lang w:eastAsia="de-DE"/>
              </w:rPr>
              <w:t xml:space="preserve">The Total net loss amount in a certain financial year over the last 10 </w:t>
            </w:r>
            <w:r w:rsidR="00141CAA" w:rsidRPr="00620EA6">
              <w:rPr>
                <w:rFonts w:ascii="Times New Roman" w:hAnsi="Times New Roman"/>
                <w:sz w:val="24"/>
                <w:lang w:eastAsia="de-DE"/>
              </w:rPr>
              <w:t xml:space="preserve">financial </w:t>
            </w:r>
            <w:r w:rsidRPr="00620EA6">
              <w:rPr>
                <w:rFonts w:ascii="Times New Roman" w:hAnsi="Times New Roman"/>
                <w:sz w:val="24"/>
                <w:lang w:eastAsia="de-DE"/>
              </w:rPr>
              <w:t xml:space="preserve">years is obtained as the sum of the “Gross loss amount (new loss events)” and “Loss </w:t>
            </w:r>
            <w:r w:rsidR="00EA4844" w:rsidRPr="00620EA6">
              <w:rPr>
                <w:rFonts w:ascii="Times New Roman" w:hAnsi="Times New Roman"/>
                <w:sz w:val="24"/>
                <w:lang w:eastAsia="de-DE"/>
              </w:rPr>
              <w:t>adjustments</w:t>
            </w:r>
            <w:r w:rsidRPr="00620EA6">
              <w:rPr>
                <w:rFonts w:ascii="Times New Roman" w:hAnsi="Times New Roman"/>
                <w:sz w:val="24"/>
                <w:lang w:eastAsia="de-DE"/>
              </w:rPr>
              <w:t>” minus the “Total direct loss recovery” and “Total recovery from insurance” relevant to that year.</w:t>
            </w:r>
          </w:p>
          <w:p w14:paraId="479643E2" w14:textId="32A9897B" w:rsidR="000B6997" w:rsidRPr="00620EA6" w:rsidRDefault="000B6997" w:rsidP="000B6997">
            <w:pPr>
              <w:rPr>
                <w:rStyle w:val="InstructionsTabelleberschrift"/>
                <w:rFonts w:ascii="Times New Roman" w:hAnsi="Times New Roman"/>
                <w:sz w:val="24"/>
                <w:lang w:eastAsia="es-ES_tradnl"/>
              </w:rPr>
            </w:pPr>
          </w:p>
        </w:tc>
      </w:tr>
      <w:tr w:rsidR="000B6997" w:rsidRPr="00620EA6" w14:paraId="27CAAE4C" w14:textId="77777777" w:rsidTr="008935EB">
        <w:tc>
          <w:tcPr>
            <w:tcW w:w="1273" w:type="dxa"/>
          </w:tcPr>
          <w:p w14:paraId="2D1CA0F8" w14:textId="77777777" w:rsidR="000B6997" w:rsidRPr="00620EA6" w:rsidRDefault="000B6997" w:rsidP="000B6997">
            <w:pPr>
              <w:rPr>
                <w:rFonts w:ascii="Times New Roman" w:hAnsi="Times New Roman"/>
                <w:b/>
                <w:bCs/>
                <w:sz w:val="24"/>
                <w:lang w:eastAsia="de-DE"/>
              </w:rPr>
            </w:pPr>
            <w:r w:rsidRPr="00620EA6">
              <w:rPr>
                <w:rFonts w:ascii="Times New Roman" w:hAnsi="Times New Roman"/>
                <w:b/>
                <w:bCs/>
                <w:sz w:val="24"/>
                <w:lang w:eastAsia="de-DE"/>
              </w:rPr>
              <w:lastRenderedPageBreak/>
              <w:t>€20,000</w:t>
            </w:r>
          </w:p>
          <w:p w14:paraId="3E580F2E" w14:textId="01DE47EB" w:rsidR="000B6997" w:rsidRPr="00620EA6" w:rsidRDefault="000B6997" w:rsidP="000B6997">
            <w:pPr>
              <w:jc w:val="left"/>
              <w:rPr>
                <w:rFonts w:ascii="Times New Roman" w:hAnsi="Times New Roman"/>
                <w:bCs/>
                <w:sz w:val="24"/>
                <w:lang w:eastAsia="nl-BE"/>
              </w:rPr>
            </w:pPr>
            <w:r w:rsidRPr="00620EA6">
              <w:rPr>
                <w:rFonts w:ascii="Times New Roman" w:hAnsi="Times New Roman"/>
                <w:sz w:val="24"/>
                <w:lang w:eastAsia="de-DE"/>
              </w:rPr>
              <w:t>0150,</w:t>
            </w:r>
            <w:r w:rsidRPr="00620EA6">
              <w:rPr>
                <w:rFonts w:ascii="Times New Roman" w:hAnsi="Times New Roman"/>
                <w:bCs/>
                <w:sz w:val="24"/>
                <w:lang w:eastAsia="nl-BE"/>
              </w:rPr>
              <w:t xml:space="preserve"> 0250, 0350, 0450, 0550, 0650, 0750, 0850</w:t>
            </w:r>
          </w:p>
          <w:p w14:paraId="534B1D52" w14:textId="77777777" w:rsidR="000B6997" w:rsidRPr="00620EA6" w:rsidRDefault="000B6997" w:rsidP="000B6997">
            <w:pPr>
              <w:rPr>
                <w:rFonts w:ascii="Times New Roman" w:hAnsi="Times New Roman"/>
                <w:b/>
                <w:bCs/>
                <w:sz w:val="24"/>
                <w:lang w:eastAsia="de-DE"/>
              </w:rPr>
            </w:pPr>
            <w:r w:rsidRPr="00620EA6">
              <w:rPr>
                <w:rFonts w:ascii="Times New Roman" w:hAnsi="Times New Roman"/>
                <w:b/>
                <w:bCs/>
                <w:sz w:val="24"/>
                <w:lang w:eastAsia="de-DE"/>
              </w:rPr>
              <w:t>€100,000</w:t>
            </w:r>
          </w:p>
          <w:p w14:paraId="0939D56E" w14:textId="735250E6" w:rsidR="000B6997" w:rsidRPr="00620EA6" w:rsidRDefault="000B6997" w:rsidP="000B6997">
            <w:pPr>
              <w:rPr>
                <w:rFonts w:ascii="Times New Roman" w:hAnsi="Times New Roman"/>
                <w:bCs/>
                <w:sz w:val="24"/>
                <w:lang w:eastAsia="nl-BE"/>
              </w:rPr>
            </w:pPr>
            <w:r w:rsidRPr="00620EA6">
              <w:rPr>
                <w:rFonts w:ascii="Times New Roman" w:hAnsi="Times New Roman"/>
                <w:bCs/>
                <w:sz w:val="24"/>
                <w:lang w:eastAsia="nl-BE"/>
              </w:rPr>
              <w:t>0195, 0295, 0395, 0495, 0595, 0695, 0795, 0895</w:t>
            </w:r>
          </w:p>
        </w:tc>
        <w:tc>
          <w:tcPr>
            <w:tcW w:w="7789" w:type="dxa"/>
          </w:tcPr>
          <w:p w14:paraId="1639F5CF" w14:textId="7EB83F28" w:rsidR="000B6997" w:rsidRPr="00620EA6" w:rsidRDefault="000B6997" w:rsidP="000B6997">
            <w:pPr>
              <w:rPr>
                <w:rStyle w:val="InstructionsTabelleberschrift"/>
                <w:rFonts w:ascii="Times New Roman" w:hAnsi="Times New Roman"/>
                <w:sz w:val="24"/>
                <w:lang w:eastAsia="es-ES_tradnl"/>
              </w:rPr>
            </w:pPr>
            <w:r w:rsidRPr="00620EA6">
              <w:rPr>
                <w:rStyle w:val="InstructionsTabelleberschrift"/>
                <w:rFonts w:ascii="Times New Roman" w:hAnsi="Times New Roman"/>
                <w:sz w:val="24"/>
                <w:lang w:eastAsia="es-ES_tradnl"/>
              </w:rPr>
              <w:t>of which: Total amount of pending losses</w:t>
            </w:r>
          </w:p>
          <w:p w14:paraId="0ABDA0B3" w14:textId="29A9845B" w:rsidR="000B6997" w:rsidRPr="00620EA6" w:rsidRDefault="000B6997" w:rsidP="000B6997">
            <w:pPr>
              <w:rPr>
                <w:rStyle w:val="InstructionsTabelleberschrift"/>
                <w:rFonts w:ascii="Times New Roman" w:hAnsi="Times New Roman"/>
                <w:sz w:val="24"/>
                <w:lang w:eastAsia="es-ES_tradnl"/>
              </w:rPr>
            </w:pPr>
            <w:r w:rsidRPr="00620EA6">
              <w:rPr>
                <w:rFonts w:ascii="Times New Roman" w:hAnsi="Times New Roman"/>
                <w:sz w:val="24"/>
                <w:lang w:eastAsia="de-DE"/>
              </w:rPr>
              <w:t>The amount of the Total net loss amount that is due to pending losses, as referred to by Art 318(2)(d) of Regulation (EU) 575/2013.</w:t>
            </w:r>
          </w:p>
        </w:tc>
      </w:tr>
    </w:tbl>
    <w:p w14:paraId="5657E29A" w14:textId="77777777" w:rsidR="00110BD3" w:rsidRPr="00620EA6" w:rsidRDefault="00110BD3">
      <w:pPr>
        <w:spacing w:before="0" w:after="0"/>
        <w:jc w:val="left"/>
        <w:rPr>
          <w:rStyle w:val="InstructionsTabelleText"/>
          <w:rFonts w:ascii="Times New Roman" w:hAnsi="Times New Roman"/>
          <w:sz w:val="24"/>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7791"/>
      </w:tblGrid>
      <w:tr w:rsidR="00110BD3" w:rsidRPr="00620EA6" w14:paraId="7B3D6940" w14:textId="77777777" w:rsidTr="00F1759C">
        <w:tc>
          <w:tcPr>
            <w:tcW w:w="9062" w:type="dxa"/>
            <w:gridSpan w:val="2"/>
            <w:shd w:val="clear" w:color="auto" w:fill="BFBFBF"/>
          </w:tcPr>
          <w:p w14:paraId="56865A27" w14:textId="042C6205" w:rsidR="00110BD3" w:rsidRPr="00620EA6" w:rsidRDefault="00110BD3" w:rsidP="00F1759C">
            <w:pPr>
              <w:rPr>
                <w:rFonts w:ascii="Times New Roman" w:hAnsi="Times New Roman"/>
                <w:sz w:val="24"/>
              </w:rPr>
            </w:pPr>
            <w:r w:rsidRPr="00620EA6">
              <w:rPr>
                <w:rFonts w:ascii="Times New Roman" w:hAnsi="Times New Roman"/>
                <w:b/>
                <w:bCs/>
                <w:sz w:val="24"/>
                <w:lang w:eastAsia="nl-BE"/>
              </w:rPr>
              <w:t>Z-axis</w:t>
            </w:r>
          </w:p>
        </w:tc>
      </w:tr>
      <w:tr w:rsidR="00110BD3" w:rsidRPr="00620EA6" w14:paraId="71ED8607" w14:textId="77777777" w:rsidTr="00D47C26">
        <w:tc>
          <w:tcPr>
            <w:tcW w:w="9062" w:type="dxa"/>
            <w:gridSpan w:val="2"/>
          </w:tcPr>
          <w:p w14:paraId="386E8012" w14:textId="37C13A50" w:rsidR="00110BD3" w:rsidRPr="00620EA6" w:rsidRDefault="00110BD3" w:rsidP="00F1759C">
            <w:pPr>
              <w:rPr>
                <w:rStyle w:val="InstructionsTabelleberschrift"/>
                <w:rFonts w:ascii="Times New Roman" w:hAnsi="Times New Roman"/>
                <w:sz w:val="24"/>
              </w:rPr>
            </w:pPr>
            <w:r w:rsidRPr="00620EA6">
              <w:rPr>
                <w:rStyle w:val="InstructionsTabelleberschrift"/>
                <w:rFonts w:ascii="Times New Roman" w:hAnsi="Times New Roman"/>
                <w:sz w:val="24"/>
              </w:rPr>
              <w:t>LEVEL 1 EVENT TYPES with TOTAL</w:t>
            </w:r>
          </w:p>
          <w:p w14:paraId="2105ADE9" w14:textId="0769F4FA" w:rsidR="00AF3E33" w:rsidRPr="00620EA6" w:rsidRDefault="00AF3E33" w:rsidP="00F1759C">
            <w:pPr>
              <w:rPr>
                <w:rFonts w:ascii="Times New Roman" w:hAnsi="Times New Roman"/>
                <w:sz w:val="24"/>
                <w:lang w:eastAsia="de-DE"/>
              </w:rPr>
            </w:pPr>
            <w:r w:rsidRPr="00620EA6">
              <w:rPr>
                <w:rFonts w:ascii="Times New Roman" w:hAnsi="Times New Roman"/>
                <w:sz w:val="24"/>
                <w:lang w:eastAsia="de-DE"/>
              </w:rPr>
              <w:t>Loss event types as</w:t>
            </w:r>
            <w:r w:rsidRPr="00620EA6">
              <w:t xml:space="preserve"> </w:t>
            </w:r>
            <w:r w:rsidRPr="00620EA6">
              <w:rPr>
                <w:rFonts w:ascii="Times New Roman" w:hAnsi="Times New Roman"/>
                <w:sz w:val="24"/>
              </w:rPr>
              <w:t>defined in Article 2 of [</w:t>
            </w:r>
            <w:r w:rsidRPr="00620EA6">
              <w:rPr>
                <w:rFonts w:ascii="Times New Roman" w:hAnsi="Times New Roman"/>
                <w:sz w:val="24"/>
                <w:highlight w:val="yellow"/>
              </w:rPr>
              <w:t>draft RTS of Article 317(9) of Regulation (EU) No 575/2013 submitted to the Commission</w:t>
            </w:r>
            <w:r w:rsidRPr="00620EA6">
              <w:rPr>
                <w:rFonts w:ascii="Times New Roman" w:hAnsi="Times New Roman"/>
                <w:sz w:val="24"/>
              </w:rPr>
              <w:t>] with a Total sheet aggregating all level 1 event types.</w:t>
            </w:r>
            <w:r w:rsidR="001C457C" w:rsidRPr="00620EA6">
              <w:rPr>
                <w:rFonts w:ascii="Times New Roman" w:hAnsi="Times New Roman"/>
                <w:sz w:val="24"/>
              </w:rPr>
              <w:t xml:space="preserve"> The two rows below are added in the Total sheet: </w:t>
            </w:r>
          </w:p>
        </w:tc>
      </w:tr>
      <w:tr w:rsidR="00510414" w:rsidRPr="00620EA6" w14:paraId="5C07ABE9" w14:textId="77777777" w:rsidTr="00624CAB">
        <w:tc>
          <w:tcPr>
            <w:tcW w:w="1271" w:type="dxa"/>
          </w:tcPr>
          <w:p w14:paraId="44AE2EAD" w14:textId="77777777" w:rsidR="00624CAB" w:rsidRPr="00620EA6" w:rsidRDefault="00624CAB" w:rsidP="00624CAB">
            <w:pPr>
              <w:rPr>
                <w:rFonts w:ascii="Times New Roman" w:hAnsi="Times New Roman"/>
                <w:b/>
                <w:bCs/>
                <w:sz w:val="24"/>
                <w:lang w:eastAsia="de-DE"/>
              </w:rPr>
            </w:pPr>
            <w:r w:rsidRPr="00620EA6">
              <w:rPr>
                <w:rFonts w:ascii="Times New Roman" w:hAnsi="Times New Roman"/>
                <w:b/>
                <w:bCs/>
                <w:sz w:val="24"/>
                <w:lang w:eastAsia="de-DE"/>
              </w:rPr>
              <w:t>€20,000</w:t>
            </w:r>
          </w:p>
          <w:p w14:paraId="190DE17F" w14:textId="1E3282DE" w:rsidR="00624CAB" w:rsidRPr="00620EA6" w:rsidRDefault="00624CAB" w:rsidP="00624CAB">
            <w:pPr>
              <w:rPr>
                <w:rStyle w:val="InstructionsTabelleberschrift"/>
                <w:rFonts w:ascii="Times New Roman" w:hAnsi="Times New Roman"/>
                <w:b w:val="0"/>
                <w:bCs w:val="0"/>
                <w:sz w:val="24"/>
                <w:u w:val="none"/>
                <w:lang w:eastAsia="de-DE"/>
              </w:rPr>
            </w:pPr>
            <w:r w:rsidRPr="00620EA6">
              <w:rPr>
                <w:rFonts w:ascii="Times New Roman" w:hAnsi="Times New Roman"/>
                <w:sz w:val="24"/>
                <w:lang w:eastAsia="de-DE"/>
              </w:rPr>
              <w:t>0852</w:t>
            </w:r>
          </w:p>
        </w:tc>
        <w:tc>
          <w:tcPr>
            <w:tcW w:w="7791" w:type="dxa"/>
          </w:tcPr>
          <w:p w14:paraId="4B7818C4" w14:textId="77777777" w:rsidR="00624CAB" w:rsidRPr="00620EA6" w:rsidRDefault="00624CAB" w:rsidP="001C457C">
            <w:pPr>
              <w:rPr>
                <w:rFonts w:ascii="Times New Roman" w:hAnsi="Times New Roman"/>
                <w:sz w:val="24"/>
                <w:lang w:eastAsia="de-DE"/>
              </w:rPr>
            </w:pPr>
            <w:r w:rsidRPr="00620EA6">
              <w:rPr>
                <w:rStyle w:val="InstructionsTabelleberschrift"/>
                <w:rFonts w:ascii="Times New Roman" w:hAnsi="Times New Roman"/>
                <w:sz w:val="24"/>
              </w:rPr>
              <w:t>Total number of excluded operational risk events</w:t>
            </w:r>
            <w:r w:rsidRPr="00620EA6">
              <w:rPr>
                <w:rFonts w:ascii="Times New Roman" w:hAnsi="Times New Roman"/>
                <w:sz w:val="24"/>
                <w:lang w:eastAsia="de-DE"/>
              </w:rPr>
              <w:t xml:space="preserve"> </w:t>
            </w:r>
          </w:p>
          <w:p w14:paraId="0347294A" w14:textId="2E74A203" w:rsidR="00510414" w:rsidRPr="00620EA6" w:rsidRDefault="00510414" w:rsidP="001C457C">
            <w:pPr>
              <w:rPr>
                <w:rStyle w:val="InstructionsTabelleberschrift"/>
                <w:rFonts w:ascii="Times New Roman" w:hAnsi="Times New Roman"/>
                <w:sz w:val="24"/>
              </w:rPr>
            </w:pPr>
            <w:r w:rsidRPr="00620EA6">
              <w:rPr>
                <w:rFonts w:ascii="Times New Roman" w:hAnsi="Times New Roman"/>
                <w:sz w:val="24"/>
                <w:lang w:eastAsia="de-DE"/>
              </w:rPr>
              <w:t>The total number of exceptional operational risk events above the reporting threshold of EUR 20,000 that were excluded in accordance with Article 320(1) of Regulation (EU) 575/2013 for each of the last 10 financial years.</w:t>
            </w:r>
          </w:p>
        </w:tc>
      </w:tr>
      <w:tr w:rsidR="00624CAB" w:rsidRPr="00620EA6" w14:paraId="67E3975D" w14:textId="77777777" w:rsidTr="00624CAB">
        <w:tc>
          <w:tcPr>
            <w:tcW w:w="1271" w:type="dxa"/>
          </w:tcPr>
          <w:p w14:paraId="716DB88A" w14:textId="77777777" w:rsidR="00624CAB" w:rsidRPr="00620EA6" w:rsidRDefault="00624CAB" w:rsidP="00624CAB">
            <w:pPr>
              <w:rPr>
                <w:rFonts w:ascii="Times New Roman" w:hAnsi="Times New Roman"/>
                <w:b/>
                <w:bCs/>
                <w:sz w:val="24"/>
                <w:lang w:eastAsia="de-DE"/>
              </w:rPr>
            </w:pPr>
            <w:r w:rsidRPr="00620EA6">
              <w:rPr>
                <w:rFonts w:ascii="Times New Roman" w:hAnsi="Times New Roman"/>
                <w:b/>
                <w:bCs/>
                <w:sz w:val="24"/>
                <w:lang w:eastAsia="de-DE"/>
              </w:rPr>
              <w:t>€20,000</w:t>
            </w:r>
          </w:p>
          <w:p w14:paraId="4038F0DE" w14:textId="55E845FD" w:rsidR="00624CAB" w:rsidRPr="00620EA6" w:rsidRDefault="00624CAB" w:rsidP="00624CAB">
            <w:pPr>
              <w:rPr>
                <w:rStyle w:val="InstructionsTabelleberschrift"/>
                <w:rFonts w:ascii="Times New Roman" w:hAnsi="Times New Roman"/>
                <w:sz w:val="24"/>
              </w:rPr>
            </w:pPr>
            <w:r w:rsidRPr="00620EA6">
              <w:rPr>
                <w:rFonts w:ascii="Times New Roman" w:hAnsi="Times New Roman"/>
                <w:sz w:val="24"/>
                <w:lang w:eastAsia="de-DE"/>
              </w:rPr>
              <w:t>0854</w:t>
            </w:r>
          </w:p>
        </w:tc>
        <w:tc>
          <w:tcPr>
            <w:tcW w:w="7791" w:type="dxa"/>
          </w:tcPr>
          <w:p w14:paraId="3528CE2A" w14:textId="5AA7200B" w:rsidR="00624CAB" w:rsidRPr="00620EA6" w:rsidRDefault="00624CAB" w:rsidP="001C457C">
            <w:pPr>
              <w:rPr>
                <w:rFonts w:ascii="Times New Roman" w:hAnsi="Times New Roman"/>
                <w:sz w:val="24"/>
                <w:lang w:eastAsia="de-DE"/>
              </w:rPr>
            </w:pPr>
            <w:r w:rsidRPr="00620EA6">
              <w:rPr>
                <w:rStyle w:val="InstructionsTabelleberschrift"/>
                <w:rFonts w:ascii="Times New Roman" w:hAnsi="Times New Roman"/>
                <w:sz w:val="24"/>
              </w:rPr>
              <w:t xml:space="preserve">Total amount of excluded operational risk </w:t>
            </w:r>
            <w:r w:rsidR="00EA4844" w:rsidRPr="00620EA6">
              <w:rPr>
                <w:rStyle w:val="InstructionsTabelleberschrift"/>
                <w:rFonts w:ascii="Times New Roman" w:hAnsi="Times New Roman"/>
                <w:sz w:val="24"/>
              </w:rPr>
              <w:t xml:space="preserve">losses </w:t>
            </w:r>
          </w:p>
          <w:p w14:paraId="15513825" w14:textId="2CD9A8AD" w:rsidR="00624CAB" w:rsidRPr="00620EA6" w:rsidRDefault="00624CAB" w:rsidP="001C457C">
            <w:pPr>
              <w:rPr>
                <w:rStyle w:val="InstructionsTabelleberschrift"/>
                <w:rFonts w:ascii="Times New Roman" w:hAnsi="Times New Roman"/>
                <w:sz w:val="24"/>
              </w:rPr>
            </w:pPr>
            <w:r w:rsidRPr="00620EA6">
              <w:rPr>
                <w:rFonts w:ascii="Times New Roman" w:hAnsi="Times New Roman"/>
                <w:sz w:val="24"/>
                <w:lang w:eastAsia="de-DE"/>
              </w:rPr>
              <w:t>The total amount of exceptional operational risk events above the reporting threshold of EUR 20,000 that were excluded in accordance with Article 320(1) of Regulation (EU) 575/2013 for each of the last 10 financial years.</w:t>
            </w:r>
          </w:p>
        </w:tc>
      </w:tr>
    </w:tbl>
    <w:p w14:paraId="101FCE2F" w14:textId="77777777" w:rsidR="00E71525" w:rsidRPr="00620EA6" w:rsidRDefault="00E71525" w:rsidP="001C457C">
      <w:pPr>
        <w:pStyle w:val="Instructionsberschrift2"/>
        <w:numPr>
          <w:ilvl w:val="0"/>
          <w:numId w:val="0"/>
        </w:numPr>
        <w:rPr>
          <w:rStyle w:val="InstructionsTabelleText"/>
          <w:rFonts w:ascii="Times New Roman" w:hAnsi="Times New Roman"/>
          <w:sz w:val="24"/>
          <w:lang w:val="en-GB"/>
        </w:rPr>
      </w:pPr>
    </w:p>
    <w:sectPr w:rsidR="00E71525" w:rsidRPr="00620EA6" w:rsidSect="004504E2">
      <w:headerReference w:type="even" r:id="rId11"/>
      <w:headerReference w:type="default" r:id="rId12"/>
      <w:footerReference w:type="even" r:id="rId13"/>
      <w:footerReference w:type="default" r:id="rId14"/>
      <w:headerReference w:type="first" r:id="rId15"/>
      <w:endnotePr>
        <w:numFmt w:val="decimal"/>
      </w:endnotePr>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96CB2" w14:textId="77777777" w:rsidR="003C2682" w:rsidRDefault="003C2682" w:rsidP="00D946DB">
      <w:pPr>
        <w:spacing w:before="0" w:after="0"/>
      </w:pPr>
      <w:r>
        <w:separator/>
      </w:r>
    </w:p>
  </w:endnote>
  <w:endnote w:type="continuationSeparator" w:id="0">
    <w:p w14:paraId="2E664C90" w14:textId="77777777" w:rsidR="003C2682" w:rsidRDefault="003C2682" w:rsidP="00D946DB">
      <w:pPr>
        <w:spacing w:before="0" w:after="0"/>
      </w:pPr>
      <w:r>
        <w:continuationSeparator/>
      </w:r>
    </w:p>
  </w:endnote>
  <w:endnote w:type="continuationNotice" w:id="1">
    <w:p w14:paraId="3B36C444" w14:textId="77777777" w:rsidR="003C2682" w:rsidRDefault="003C268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U Albertina">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EUAlbertina">
    <w:altName w:val="Cambria"/>
    <w:panose1 w:val="00000000000000000000"/>
    <w:charset w:val="00"/>
    <w:family w:val="auto"/>
    <w:notTrueType/>
    <w:pitch w:val="default"/>
    <w:sig w:usb0="00000001" w:usb1="00000000" w:usb2="00000000" w:usb3="00000000" w:csb0="00000003"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7E4A5" w14:textId="77777777" w:rsidR="00C3070C" w:rsidRDefault="00C3070C">
    <w:pPr>
      <w:pStyle w:val="Footer"/>
      <w:framePr w:wrap="auto" w:vAnchor="text" w:hAnchor="margin" w:xAlign="right" w:y="1"/>
      <w:rPr>
        <w:rStyle w:val="PageNumber"/>
        <w:szCs w:val="22"/>
      </w:rPr>
    </w:pPr>
    <w:r>
      <w:rPr>
        <w:rStyle w:val="PageNumber"/>
        <w:szCs w:val="22"/>
      </w:rPr>
      <w:fldChar w:fldCharType="begin"/>
    </w:r>
    <w:r>
      <w:rPr>
        <w:rStyle w:val="PageNumber"/>
        <w:szCs w:val="22"/>
      </w:rPr>
      <w:instrText xml:space="preserve">PAGE  </w:instrText>
    </w:r>
    <w:r>
      <w:rPr>
        <w:rStyle w:val="PageNumber"/>
        <w:szCs w:val="22"/>
      </w:rPr>
      <w:fldChar w:fldCharType="separate"/>
    </w:r>
    <w:r>
      <w:rPr>
        <w:rStyle w:val="PageNumber"/>
        <w:noProof/>
        <w:szCs w:val="22"/>
      </w:rPr>
      <w:t>18</w:t>
    </w:r>
    <w:r>
      <w:rPr>
        <w:rStyle w:val="PageNumber"/>
        <w:noProof/>
        <w:szCs w:val="22"/>
      </w:rPr>
      <w:t>3</w:t>
    </w:r>
    <w:r>
      <w:rPr>
        <w:rStyle w:val="PageNumber"/>
        <w:szCs w:val="22"/>
      </w:rPr>
      <w:fldChar w:fldCharType="end"/>
    </w:r>
  </w:p>
  <w:p w14:paraId="468B5799" w14:textId="77777777" w:rsidR="00C3070C" w:rsidRDefault="00C3070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65885" w14:textId="71A1082C" w:rsidR="00C3070C" w:rsidRPr="00ED1956" w:rsidRDefault="00C3070C">
    <w:pPr>
      <w:pStyle w:val="Footer"/>
      <w:jc w:val="right"/>
      <w:rPr>
        <w:rFonts w:ascii="Times New Roman" w:hAnsi="Times New Roman"/>
        <w:sz w:val="20"/>
        <w:szCs w:val="20"/>
      </w:rPr>
    </w:pPr>
    <w:r w:rsidRPr="00ED1956">
      <w:rPr>
        <w:rFonts w:ascii="Times New Roman" w:hAnsi="Times New Roman"/>
        <w:sz w:val="20"/>
        <w:szCs w:val="20"/>
      </w:rPr>
      <w:fldChar w:fldCharType="begin"/>
    </w:r>
    <w:r w:rsidRPr="00ED1956">
      <w:rPr>
        <w:rFonts w:ascii="Times New Roman" w:hAnsi="Times New Roman"/>
        <w:sz w:val="20"/>
        <w:szCs w:val="20"/>
      </w:rPr>
      <w:instrText xml:space="preserve"> PAGE   \* MERGEFORMAT </w:instrText>
    </w:r>
    <w:r w:rsidRPr="00ED1956">
      <w:rPr>
        <w:rFonts w:ascii="Times New Roman" w:hAnsi="Times New Roman"/>
        <w:sz w:val="20"/>
        <w:szCs w:val="20"/>
      </w:rPr>
      <w:fldChar w:fldCharType="separate"/>
    </w:r>
    <w:r w:rsidR="008F3052">
      <w:rPr>
        <w:rFonts w:ascii="Times New Roman" w:hAnsi="Times New Roman"/>
        <w:noProof/>
        <w:sz w:val="20"/>
        <w:szCs w:val="20"/>
      </w:rPr>
      <w:t>4</w:t>
    </w:r>
    <w:r w:rsidR="008F3052">
      <w:rPr>
        <w:rFonts w:ascii="Times New Roman" w:hAnsi="Times New Roman"/>
        <w:noProof/>
        <w:sz w:val="20"/>
        <w:szCs w:val="20"/>
      </w:rPr>
      <w:t>2</w:t>
    </w:r>
    <w:r w:rsidRPr="00ED1956">
      <w:rPr>
        <w:rFonts w:ascii="Times New Roman" w:hAnsi="Times New Roman"/>
        <w:sz w:val="20"/>
        <w:szCs w:val="20"/>
      </w:rPr>
      <w:fldChar w:fldCharType="end"/>
    </w:r>
  </w:p>
  <w:p w14:paraId="416ED6B6" w14:textId="77777777" w:rsidR="00C3070C" w:rsidRPr="00A772B4" w:rsidRDefault="00C3070C" w:rsidP="00A772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7A866" w14:textId="77777777" w:rsidR="003C2682" w:rsidRDefault="003C2682" w:rsidP="00D946DB">
      <w:pPr>
        <w:spacing w:before="0" w:after="0"/>
      </w:pPr>
      <w:r>
        <w:separator/>
      </w:r>
    </w:p>
  </w:footnote>
  <w:footnote w:type="continuationSeparator" w:id="0">
    <w:p w14:paraId="65C40565" w14:textId="77777777" w:rsidR="003C2682" w:rsidRDefault="003C2682" w:rsidP="00D946DB">
      <w:pPr>
        <w:spacing w:before="0" w:after="0"/>
      </w:pPr>
      <w:r>
        <w:continuationSeparator/>
      </w:r>
    </w:p>
  </w:footnote>
  <w:footnote w:type="continuationNotice" w:id="1">
    <w:p w14:paraId="78B3A4E4" w14:textId="77777777" w:rsidR="003C2682" w:rsidRDefault="003C268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A98C1" w14:textId="3D139642" w:rsidR="00C3070C" w:rsidRDefault="001B1FAD">
    <w:pPr>
      <w:pStyle w:val="Header"/>
    </w:pPr>
    <w:r>
      <w:rPr>
        <w:noProof/>
        <w:lang w:val="en-GB" w:eastAsia="en-GB"/>
      </w:rPr>
      <mc:AlternateContent>
        <mc:Choice Requires="wps">
          <w:drawing>
            <wp:anchor distT="0" distB="0" distL="0" distR="0" simplePos="0" relativeHeight="251660291" behindDoc="0" locked="0" layoutInCell="1" allowOverlap="1" wp14:anchorId="33782B1C" wp14:editId="46DC889D">
              <wp:simplePos x="635" y="635"/>
              <wp:positionH relativeFrom="page">
                <wp:align>center</wp:align>
              </wp:positionH>
              <wp:positionV relativeFrom="page">
                <wp:align>top</wp:align>
              </wp:positionV>
              <wp:extent cx="975360" cy="421640"/>
              <wp:effectExtent l="0" t="0" r="15240" b="16510"/>
              <wp:wrapNone/>
              <wp:docPr id="919820180" name="Text Box 2" descr="ECB-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75360" cy="421640"/>
                      </a:xfrm>
                      <a:prstGeom prst="rect">
                        <a:avLst/>
                      </a:prstGeom>
                      <a:noFill/>
                      <a:ln>
                        <a:noFill/>
                      </a:ln>
                    </wps:spPr>
                    <wps:txbx>
                      <w:txbxContent>
                        <w:p w14:paraId="29FD935B" w14:textId="000AD178" w:rsidR="001B1FAD" w:rsidRPr="001B1FAD" w:rsidRDefault="001B1FAD" w:rsidP="001B1FAD">
                          <w:pPr>
                            <w:spacing w:after="0"/>
                            <w:rPr>
                              <w:rFonts w:ascii="Aptos" w:eastAsia="Aptos" w:hAnsi="Aptos" w:cs="Aptos"/>
                              <w:noProof/>
                              <w:color w:val="000000"/>
                              <w:szCs w:val="20"/>
                            </w:rPr>
                          </w:pPr>
                          <w:r w:rsidRPr="001B1FAD">
                            <w:rPr>
                              <w:rFonts w:ascii="Aptos" w:eastAsia="Aptos" w:hAnsi="Aptos" w:cs="Aptos"/>
                              <w:noProof/>
                              <w:color w:val="000000"/>
                              <w:szCs w:val="20"/>
                            </w:rPr>
                            <w:t>ECB-RESTRICTED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3782B1C" id="_x0000_t202" coordsize="21600,21600" o:spt="202" path="m,l,21600r21600,l21600,xe">
              <v:stroke joinstyle="miter"/>
              <v:path gradientshapeok="t" o:connecttype="rect"/>
            </v:shapetype>
            <v:shape id="Text Box 2" o:spid="_x0000_s1026" type="#_x0000_t202" alt="ECB-RESTRICTED" style="position:absolute;left:0;text-align:left;margin-left:0;margin-top:0;width:76.8pt;height:33.2pt;z-index:25166029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" filled="f" stroked="f">
              <v:textbox style="mso-fit-shape-to-text:t" inset="0,15pt,0,0">
                <w:txbxContent>
                  <w:p w14:paraId="29FD935B" w14:textId="000AD178" w:rsidR="001B1FAD" w:rsidRPr="001B1FAD" w:rsidRDefault="001B1FAD" w:rsidP="001B1FAD">
                    <w:pPr>
                      <w:spacing w:after="0"/>
                      <w:rPr>
                        <w:rFonts w:ascii="Aptos" w:eastAsia="Aptos" w:hAnsi="Aptos" w:cs="Aptos"/>
                        <w:noProof/>
                        <w:color w:val="000000"/>
                        <w:szCs w:val="20"/>
                      </w:rPr>
                    </w:pPr>
                    <w:r w:rsidRPr="001B1FAD">
                      <w:rPr>
                        <w:rFonts w:ascii="Aptos" w:eastAsia="Aptos" w:hAnsi="Aptos" w:cs="Aptos"/>
                        <w:noProof/>
                        <w:color w:val="000000"/>
                        <w:szCs w:val="20"/>
                      </w:rPr>
                      <w:t>ECB-RESTRICTED</w:t>
                    </w:r>
                  </w:p>
                </w:txbxContent>
              </v:textbox>
              <w10:wrap anchorx="page" anchory="page"/>
            </v:shape>
          </w:pict>
        </mc:Fallback>
      </mc:AlternateContent>
    </w:r>
    <w:r w:rsidR="00C3070C">
      <w:rPr>
        <w:noProof/>
        <w:lang w:val="en-GB" w:eastAsia="en-GB"/>
      </w:rPr>
      <mc:AlternateContent>
        <mc:Choice Requires="wps">
          <w:drawing>
            <wp:anchor distT="0" distB="0" distL="0" distR="0" simplePos="0" relativeHeight="251658242" behindDoc="0" locked="0" layoutInCell="1" allowOverlap="1" wp14:anchorId="4AC91A65" wp14:editId="3B50E3B5">
              <wp:simplePos x="635" y="635"/>
              <wp:positionH relativeFrom="leftMargin">
                <wp:align>left</wp:align>
              </wp:positionH>
              <wp:positionV relativeFrom="paragraph">
                <wp:posOffset>635</wp:posOffset>
              </wp:positionV>
              <wp:extent cx="443865" cy="443865"/>
              <wp:effectExtent l="0" t="0" r="3175" b="4445"/>
              <wp:wrapSquare wrapText="bothSides"/>
              <wp:docPr id="21" name="Text Box 21" descr="EBA Regular Us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3DFA35" w14:textId="0AB4BE24" w:rsidR="00C3070C" w:rsidRPr="003B6094" w:rsidRDefault="00C3070C">
                          <w:pPr>
                            <w:rPr>
                              <w:rFonts w:ascii="Calibri" w:eastAsia="Calibri" w:hAnsi="Calibri" w:cs="Calibri"/>
                              <w:color w:val="000000"/>
                              <w:sz w:val="24"/>
                            </w:rPr>
                          </w:pPr>
                          <w:r w:rsidRPr="003B6094">
                            <w:rPr>
                              <w:rFonts w:ascii="Calibri" w:eastAsia="Calibri" w:hAnsi="Calibri" w:cs="Calibri"/>
                              <w:color w:val="000000"/>
                              <w:sz w:val="24"/>
                            </w:rPr>
                            <w:t>EBA Regular Use</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 w14:anchorId="4AC91A65" id="Text Box 21" o:spid="_x0000_s1027" type="#_x0000_t202" alt="EBA Regular Use" style="position:absolute;left:0;text-align:left;margin-left:0;margin-top:.05pt;width:34.95pt;height:34.95pt;z-index:251658242;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5xBw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" filled="f" stroked="f">
              <v:textbox style="mso-fit-shape-to-text:t" inset="5pt,0,0,0">
                <w:txbxContent>
                  <w:p w14:paraId="5E3DFA35" w14:textId="0AB4BE24" w:rsidR="00C3070C" w:rsidRPr="003B6094" w:rsidRDefault="00C3070C">
                    <w:pPr>
                      <w:rPr>
                        <w:rFonts w:ascii="Calibri" w:eastAsia="Calibri" w:hAnsi="Calibri" w:cs="Calibri"/>
                        <w:color w:val="000000"/>
                        <w:sz w:val="24"/>
                      </w:rPr>
                    </w:pPr>
                    <w:r w:rsidRPr="003B6094">
                      <w:rPr>
                        <w:rFonts w:ascii="Calibri" w:eastAsia="Calibri" w:hAnsi="Calibri" w:cs="Calibri"/>
                        <w:color w:val="000000"/>
                        <w:sz w:val="24"/>
                      </w:rPr>
                      <w:t>EBA Regular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DBBC0" w14:textId="4992E6C7" w:rsidR="00C3070C" w:rsidRDefault="001B1FAD">
    <w:pPr>
      <w:pStyle w:val="Header"/>
    </w:pPr>
    <w:r>
      <w:rPr>
        <w:noProof/>
        <w:lang w:val="en-GB" w:eastAsia="en-GB"/>
      </w:rPr>
      <mc:AlternateContent>
        <mc:Choice Requires="wps">
          <w:drawing>
            <wp:anchor distT="0" distB="0" distL="0" distR="0" simplePos="0" relativeHeight="251661315" behindDoc="0" locked="0" layoutInCell="1" allowOverlap="1" wp14:anchorId="23AC4B25" wp14:editId="14D10C6B">
              <wp:simplePos x="635" y="635"/>
              <wp:positionH relativeFrom="page">
                <wp:align>center</wp:align>
              </wp:positionH>
              <wp:positionV relativeFrom="page">
                <wp:align>top</wp:align>
              </wp:positionV>
              <wp:extent cx="975360" cy="421640"/>
              <wp:effectExtent l="0" t="0" r="15240" b="16510"/>
              <wp:wrapNone/>
              <wp:docPr id="1914408418" name="Text Box 3" descr="ECB-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75360" cy="421640"/>
                      </a:xfrm>
                      <a:prstGeom prst="rect">
                        <a:avLst/>
                      </a:prstGeom>
                      <a:noFill/>
                      <a:ln>
                        <a:noFill/>
                      </a:ln>
                    </wps:spPr>
                    <wps:txbx>
                      <w:txbxContent>
                        <w:p w14:paraId="04A60C4C" w14:textId="71326B37" w:rsidR="001B1FAD" w:rsidRPr="001B1FAD" w:rsidRDefault="001B1FAD" w:rsidP="001B1FAD">
                          <w:pPr>
                            <w:spacing w:after="0"/>
                            <w:rPr>
                              <w:rFonts w:ascii="Aptos" w:eastAsia="Aptos" w:hAnsi="Aptos" w:cs="Aptos"/>
                              <w:noProof/>
                              <w:color w:val="000000"/>
                              <w:szCs w:val="20"/>
                            </w:rPr>
                          </w:pPr>
                          <w:r w:rsidRPr="001B1FAD">
                            <w:rPr>
                              <w:rFonts w:ascii="Aptos" w:eastAsia="Aptos" w:hAnsi="Aptos" w:cs="Aptos"/>
                              <w:noProof/>
                              <w:color w:val="000000"/>
                              <w:szCs w:val="20"/>
                            </w:rPr>
                            <w:t>ECB-RESTRICTED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3AC4B25" id="_x0000_t202" coordsize="21600,21600" o:spt="202" path="m,l,21600r21600,l21600,xe">
              <v:stroke joinstyle="miter"/>
              <v:path gradientshapeok="t" o:connecttype="rect"/>
            </v:shapetype>
            <v:shape id="Text Box 3" o:spid="_x0000_s1028" type="#_x0000_t202" alt="ECB-RESTRICTED" style="position:absolute;left:0;text-align:left;margin-left:0;margin-top:0;width:76.8pt;height:33.2pt;z-index:25166131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" filled="f" stroked="f">
              <v:textbox style="mso-fit-shape-to-text:t" inset="0,15pt,0,0">
                <w:txbxContent>
                  <w:p w14:paraId="04A60C4C" w14:textId="71326B37" w:rsidR="001B1FAD" w:rsidRPr="001B1FAD" w:rsidRDefault="001B1FAD" w:rsidP="001B1FAD">
                    <w:pPr>
                      <w:spacing w:after="0"/>
                      <w:rPr>
                        <w:rFonts w:ascii="Aptos" w:eastAsia="Aptos" w:hAnsi="Aptos" w:cs="Aptos"/>
                        <w:noProof/>
                        <w:color w:val="000000"/>
                        <w:szCs w:val="20"/>
                      </w:rPr>
                    </w:pPr>
                    <w:r w:rsidRPr="001B1FAD">
                      <w:rPr>
                        <w:rFonts w:ascii="Aptos" w:eastAsia="Aptos" w:hAnsi="Aptos" w:cs="Aptos"/>
                        <w:noProof/>
                        <w:color w:val="000000"/>
                        <w:szCs w:val="20"/>
                      </w:rPr>
                      <w:t>ECB-RESTRICTED</w:t>
                    </w:r>
                  </w:p>
                </w:txbxContent>
              </v:textbox>
              <w10:wrap anchorx="page" anchory="page"/>
            </v:shape>
          </w:pict>
        </mc:Fallback>
      </mc:AlternateContent>
    </w:r>
    <w:r w:rsidR="00C3070C">
      <w:rPr>
        <w:noProof/>
        <w:lang w:val="en-GB" w:eastAsia="en-GB"/>
      </w:rPr>
      <mc:AlternateContent>
        <mc:Choice Requires="wps">
          <w:drawing>
            <wp:anchor distT="0" distB="0" distL="0" distR="0" simplePos="0" relativeHeight="251658243" behindDoc="0" locked="0" layoutInCell="1" allowOverlap="1" wp14:anchorId="67084BAA" wp14:editId="5584C00C">
              <wp:simplePos x="635" y="635"/>
              <wp:positionH relativeFrom="leftMargin">
                <wp:align>left</wp:align>
              </wp:positionH>
              <wp:positionV relativeFrom="paragraph">
                <wp:posOffset>635</wp:posOffset>
              </wp:positionV>
              <wp:extent cx="443865" cy="443865"/>
              <wp:effectExtent l="0" t="0" r="3175" b="4445"/>
              <wp:wrapSquare wrapText="bothSides"/>
              <wp:docPr id="22" name="Text Box 22" descr="EBA Regular Us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6EFF338" w14:textId="5E526244" w:rsidR="00C3070C" w:rsidRPr="003B6094" w:rsidRDefault="00C3070C">
                          <w:pPr>
                            <w:rPr>
                              <w:rFonts w:ascii="Calibri" w:eastAsia="Calibri" w:hAnsi="Calibri" w:cs="Calibri"/>
                              <w:color w:val="000000"/>
                              <w:sz w:val="24"/>
                            </w:rPr>
                          </w:pPr>
                          <w:r w:rsidRPr="003B6094">
                            <w:rPr>
                              <w:rFonts w:ascii="Calibri" w:eastAsia="Calibri" w:hAnsi="Calibri" w:cs="Calibri"/>
                              <w:color w:val="000000"/>
                              <w:sz w:val="24"/>
                            </w:rPr>
                            <w:t>EBA Regular Use</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 w14:anchorId="67084BAA" id="Text Box 22" o:spid="_x0000_s1029" type="#_x0000_t202" alt="EBA Regular Use" style="position:absolute;left:0;text-align:left;margin-left:0;margin-top:.05pt;width:34.95pt;height:34.95pt;z-index:251658243;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dhbLpQkCAAAbBAAADgAA&#10;AAAAAAAAAAAAAAAuAgAAZHJzL2Uyb0RvYy54bWxQSwECLQAUAAYACAAAACEANIE6FtoAAAADAQAA&#10;DwAAAAAAAAAAAAAAAABjBAAAZHJzL2Rvd25yZXYueG1sUEsFBgAAAAAEAAQA8wAAAGoFAAAAAA==&#10;" filled="f" stroked="f">
              <v:textbox style="mso-fit-shape-to-text:t" inset="5pt,0,0,0">
                <w:txbxContent>
                  <w:p w14:paraId="26EFF338" w14:textId="5E526244" w:rsidR="00C3070C" w:rsidRPr="003B6094" w:rsidRDefault="00C3070C">
                    <w:pPr>
                      <w:rPr>
                        <w:rFonts w:ascii="Calibri" w:eastAsia="Calibri" w:hAnsi="Calibri" w:cs="Calibri"/>
                        <w:color w:val="000000"/>
                        <w:sz w:val="24"/>
                      </w:rPr>
                    </w:pPr>
                    <w:r w:rsidRPr="003B6094">
                      <w:rPr>
                        <w:rFonts w:ascii="Calibri" w:eastAsia="Calibri" w:hAnsi="Calibri" w:cs="Calibri"/>
                        <w:color w:val="000000"/>
                        <w:sz w:val="24"/>
                      </w:rPr>
                      <w:t>EBA Regular Use</w:t>
                    </w:r>
                  </w:p>
                </w:txbxContent>
              </v:textbox>
              <w10:wrap type="square" anchorx="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9755F" w14:textId="604813F1" w:rsidR="00C3070C" w:rsidRDefault="001B1FAD">
    <w:pPr>
      <w:rPr>
        <w:rFonts w:ascii="Arial" w:hAnsi="Arial" w:cs="Arial"/>
      </w:rPr>
    </w:pPr>
    <w:r>
      <w:rPr>
        <w:rFonts w:ascii="Arial" w:hAnsi="Arial" w:cs="Arial"/>
        <w:noProof/>
        <w:lang w:eastAsia="en-GB"/>
      </w:rPr>
      <mc:AlternateContent>
        <mc:Choice Requires="wps">
          <w:drawing>
            <wp:anchor distT="0" distB="0" distL="0" distR="0" simplePos="0" relativeHeight="251659267" behindDoc="0" locked="0" layoutInCell="1" allowOverlap="1" wp14:anchorId="4831EC2D" wp14:editId="6DCA42FA">
              <wp:simplePos x="635" y="635"/>
              <wp:positionH relativeFrom="page">
                <wp:align>center</wp:align>
              </wp:positionH>
              <wp:positionV relativeFrom="page">
                <wp:align>top</wp:align>
              </wp:positionV>
              <wp:extent cx="975360" cy="421640"/>
              <wp:effectExtent l="0" t="0" r="15240" b="16510"/>
              <wp:wrapNone/>
              <wp:docPr id="1894879999" name="Text Box 1" descr="ECB-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75360" cy="421640"/>
                      </a:xfrm>
                      <a:prstGeom prst="rect">
                        <a:avLst/>
                      </a:prstGeom>
                      <a:noFill/>
                      <a:ln>
                        <a:noFill/>
                      </a:ln>
                    </wps:spPr>
                    <wps:txbx>
                      <w:txbxContent>
                        <w:p w14:paraId="79641945" w14:textId="102A58DE" w:rsidR="001B1FAD" w:rsidRPr="001B1FAD" w:rsidRDefault="001B1FAD" w:rsidP="001B1FAD">
                          <w:pPr>
                            <w:spacing w:after="0"/>
                            <w:rPr>
                              <w:rFonts w:ascii="Aptos" w:eastAsia="Aptos" w:hAnsi="Aptos" w:cs="Aptos"/>
                              <w:noProof/>
                              <w:color w:val="000000"/>
                              <w:szCs w:val="20"/>
                            </w:rPr>
                          </w:pPr>
                          <w:r w:rsidRPr="001B1FAD">
                            <w:rPr>
                              <w:rFonts w:ascii="Aptos" w:eastAsia="Aptos" w:hAnsi="Aptos" w:cs="Aptos"/>
                              <w:noProof/>
                              <w:color w:val="000000"/>
                              <w:szCs w:val="20"/>
                            </w:rPr>
                            <w:t>ECB-RESTRICTED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831EC2D" id="_x0000_t202" coordsize="21600,21600" o:spt="202" path="m,l,21600r21600,l21600,xe">
              <v:stroke joinstyle="miter"/>
              <v:path gradientshapeok="t" o:connecttype="rect"/>
            </v:shapetype>
            <v:shape id="Text Box 1" o:spid="_x0000_s1030" type="#_x0000_t202" alt="ECB-RESTRICTED" style="position:absolute;left:0;text-align:left;margin-left:0;margin-top:0;width:76.8pt;height:33.2pt;z-index:251659267;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" filled="f" stroked="f">
              <v:textbox style="mso-fit-shape-to-text:t" inset="0,15pt,0,0">
                <w:txbxContent>
                  <w:p w14:paraId="79641945" w14:textId="102A58DE" w:rsidR="001B1FAD" w:rsidRPr="001B1FAD" w:rsidRDefault="001B1FAD" w:rsidP="001B1FAD">
                    <w:pPr>
                      <w:spacing w:after="0"/>
                      <w:rPr>
                        <w:rFonts w:ascii="Aptos" w:eastAsia="Aptos" w:hAnsi="Aptos" w:cs="Aptos"/>
                        <w:noProof/>
                        <w:color w:val="000000"/>
                        <w:szCs w:val="20"/>
                      </w:rPr>
                    </w:pPr>
                    <w:r w:rsidRPr="001B1FAD">
                      <w:rPr>
                        <w:rFonts w:ascii="Aptos" w:eastAsia="Aptos" w:hAnsi="Aptos" w:cs="Aptos"/>
                        <w:noProof/>
                        <w:color w:val="000000"/>
                        <w:szCs w:val="20"/>
                      </w:rPr>
                      <w:t>ECB-RESTRICTED</w:t>
                    </w:r>
                  </w:p>
                </w:txbxContent>
              </v:textbox>
              <w10:wrap anchorx="page" anchory="page"/>
            </v:shape>
          </w:pict>
        </mc:Fallback>
      </mc:AlternateContent>
    </w:r>
    <w:r w:rsidR="00C3070C">
      <w:rPr>
        <w:rFonts w:ascii="Arial" w:hAnsi="Arial" w:cs="Arial"/>
        <w:noProof/>
        <w:lang w:eastAsia="en-GB"/>
      </w:rPr>
      <mc:AlternateContent>
        <mc:Choice Requires="wps">
          <w:drawing>
            <wp:anchor distT="0" distB="0" distL="0" distR="0" simplePos="0" relativeHeight="251658241" behindDoc="0" locked="0" layoutInCell="1" allowOverlap="1" wp14:anchorId="00728D39" wp14:editId="23187325">
              <wp:simplePos x="635" y="635"/>
              <wp:positionH relativeFrom="leftMargin">
                <wp:align>left</wp:align>
              </wp:positionH>
              <wp:positionV relativeFrom="paragraph">
                <wp:posOffset>635</wp:posOffset>
              </wp:positionV>
              <wp:extent cx="443865" cy="443865"/>
              <wp:effectExtent l="0" t="0" r="3175" b="4445"/>
              <wp:wrapSquare wrapText="bothSides"/>
              <wp:docPr id="20" name="Text Box 20" descr="EBA Regular Us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38E9168" w14:textId="7F6D1353" w:rsidR="00C3070C" w:rsidRPr="003B6094" w:rsidRDefault="00C3070C">
                          <w:pPr>
                            <w:rPr>
                              <w:rFonts w:ascii="Calibri" w:eastAsia="Calibri" w:hAnsi="Calibri" w:cs="Calibri"/>
                              <w:color w:val="000000"/>
                              <w:sz w:val="24"/>
                            </w:rPr>
                          </w:pPr>
                          <w:r w:rsidRPr="003B6094">
                            <w:rPr>
                              <w:rFonts w:ascii="Calibri" w:eastAsia="Calibri" w:hAnsi="Calibri" w:cs="Calibri"/>
                              <w:color w:val="000000"/>
                              <w:sz w:val="24"/>
                            </w:rPr>
                            <w:t>EBA Regular Use</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 w14:anchorId="00728D39" id="Text Box 20" o:spid="_x0000_s1031" type="#_x0000_t202" alt="EBA Regular Use" style="position:absolute;left:0;text-align:left;margin-left:0;margin-top:.05pt;width:34.95pt;height:34.95pt;z-index:251658241;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aY1FAgkCAAAbBAAADgAA&#10;AAAAAAAAAAAAAAAuAgAAZHJzL2Uyb0RvYy54bWxQSwECLQAUAAYACAAAACEANIE6FtoAAAADAQAA&#10;DwAAAAAAAAAAAAAAAABjBAAAZHJzL2Rvd25yZXYueG1sUEsFBgAAAAAEAAQA8wAAAGoFAAAAAA==&#10;" filled="f" stroked="f">
              <v:textbox style="mso-fit-shape-to-text:t" inset="5pt,0,0,0">
                <w:txbxContent>
                  <w:p w14:paraId="338E9168" w14:textId="7F6D1353" w:rsidR="00C3070C" w:rsidRPr="003B6094" w:rsidRDefault="00C3070C">
                    <w:pPr>
                      <w:rPr>
                        <w:rFonts w:ascii="Calibri" w:eastAsia="Calibri" w:hAnsi="Calibri" w:cs="Calibri"/>
                        <w:color w:val="000000"/>
                        <w:sz w:val="24"/>
                      </w:rPr>
                    </w:pPr>
                    <w:r w:rsidRPr="003B6094">
                      <w:rPr>
                        <w:rFonts w:ascii="Calibri" w:eastAsia="Calibri" w:hAnsi="Calibri" w:cs="Calibri"/>
                        <w:color w:val="000000"/>
                        <w:sz w:val="24"/>
                      </w:rPr>
                      <w:t>EBA Regular Use</w:t>
                    </w:r>
                  </w:p>
                </w:txbxContent>
              </v:textbox>
              <w10:wrap type="square"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B7860F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E5078C"/>
    <w:multiLevelType w:val="hybridMultilevel"/>
    <w:tmpl w:val="D53853DA"/>
    <w:lvl w:ilvl="0" w:tplc="AFE0D250">
      <w:start w:val="1"/>
      <w:numFmt w:val="bullet"/>
      <w:pStyle w:val="List"/>
      <w:lvlText w:val=""/>
      <w:lvlJc w:val="left"/>
      <w:pPr>
        <w:tabs>
          <w:tab w:val="num" w:pos="680"/>
        </w:tabs>
        <w:ind w:left="680" w:hanging="68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119FD"/>
    <w:multiLevelType w:val="multilevel"/>
    <w:tmpl w:val="C33C510C"/>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7B54C7"/>
    <w:multiLevelType w:val="multilevel"/>
    <w:tmpl w:val="57A4C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197B01"/>
    <w:multiLevelType w:val="multilevel"/>
    <w:tmpl w:val="32EAB8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58313DF"/>
    <w:multiLevelType w:val="hybridMultilevel"/>
    <w:tmpl w:val="A8C659F6"/>
    <w:lvl w:ilvl="0" w:tplc="9174AD42">
      <w:start w:val="1"/>
      <w:numFmt w:val="bullet"/>
      <w:pStyle w:val="bullet1"/>
      <w:lvlText w:val=""/>
      <w:lvlJc w:val="left"/>
      <w:pPr>
        <w:tabs>
          <w:tab w:val="num" w:pos="340"/>
        </w:tabs>
        <w:ind w:left="340" w:hanging="34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CD3A99"/>
    <w:multiLevelType w:val="hybridMultilevel"/>
    <w:tmpl w:val="B9D49566"/>
    <w:lvl w:ilvl="0" w:tplc="D2024F70">
      <w:start w:val="1"/>
      <w:numFmt w:val="bullet"/>
      <w:pStyle w:val="Aufzhlungszeichen1"/>
      <w:lvlText w:val=""/>
      <w:lvlJc w:val="left"/>
      <w:pPr>
        <w:tabs>
          <w:tab w:val="num" w:pos="360"/>
        </w:tabs>
        <w:ind w:left="360" w:hanging="360"/>
      </w:pPr>
      <w:rPr>
        <w:rFonts w:ascii="Symbol" w:hAnsi="Symbol" w:hint="default"/>
        <w:color w:val="auto"/>
        <w:sz w:val="28"/>
      </w:rPr>
    </w:lvl>
    <w:lvl w:ilvl="1" w:tplc="FBC0B1D0">
      <w:start w:val="1"/>
      <w:numFmt w:val="bullet"/>
      <w:lvlText w:val="o"/>
      <w:lvlJc w:val="left"/>
      <w:pPr>
        <w:tabs>
          <w:tab w:val="num" w:pos="1440"/>
        </w:tabs>
        <w:ind w:left="1440" w:hanging="360"/>
      </w:pPr>
      <w:rPr>
        <w:rFonts w:ascii="Courier New" w:hAnsi="Courier New" w:hint="default"/>
      </w:rPr>
    </w:lvl>
    <w:lvl w:ilvl="2" w:tplc="0B0AEBA8" w:tentative="1">
      <w:start w:val="1"/>
      <w:numFmt w:val="bullet"/>
      <w:lvlText w:val=""/>
      <w:lvlJc w:val="left"/>
      <w:pPr>
        <w:tabs>
          <w:tab w:val="num" w:pos="2160"/>
        </w:tabs>
        <w:ind w:left="2160" w:hanging="360"/>
      </w:pPr>
      <w:rPr>
        <w:rFonts w:ascii="Wingdings" w:hAnsi="Wingdings" w:hint="default"/>
      </w:rPr>
    </w:lvl>
    <w:lvl w:ilvl="3" w:tplc="320AF0DE" w:tentative="1">
      <w:start w:val="1"/>
      <w:numFmt w:val="bullet"/>
      <w:lvlText w:val=""/>
      <w:lvlJc w:val="left"/>
      <w:pPr>
        <w:tabs>
          <w:tab w:val="num" w:pos="2880"/>
        </w:tabs>
        <w:ind w:left="2880" w:hanging="360"/>
      </w:pPr>
      <w:rPr>
        <w:rFonts w:ascii="Symbol" w:hAnsi="Symbol" w:hint="default"/>
      </w:rPr>
    </w:lvl>
    <w:lvl w:ilvl="4" w:tplc="FCE445B6" w:tentative="1">
      <w:start w:val="1"/>
      <w:numFmt w:val="bullet"/>
      <w:lvlText w:val="o"/>
      <w:lvlJc w:val="left"/>
      <w:pPr>
        <w:tabs>
          <w:tab w:val="num" w:pos="3600"/>
        </w:tabs>
        <w:ind w:left="3600" w:hanging="360"/>
      </w:pPr>
      <w:rPr>
        <w:rFonts w:ascii="Courier New" w:hAnsi="Courier New" w:hint="default"/>
      </w:rPr>
    </w:lvl>
    <w:lvl w:ilvl="5" w:tplc="BD46C1E4" w:tentative="1">
      <w:start w:val="1"/>
      <w:numFmt w:val="bullet"/>
      <w:lvlText w:val=""/>
      <w:lvlJc w:val="left"/>
      <w:pPr>
        <w:tabs>
          <w:tab w:val="num" w:pos="4320"/>
        </w:tabs>
        <w:ind w:left="4320" w:hanging="360"/>
      </w:pPr>
      <w:rPr>
        <w:rFonts w:ascii="Wingdings" w:hAnsi="Wingdings" w:hint="default"/>
      </w:rPr>
    </w:lvl>
    <w:lvl w:ilvl="6" w:tplc="DCB491D4" w:tentative="1">
      <w:start w:val="1"/>
      <w:numFmt w:val="bullet"/>
      <w:lvlText w:val=""/>
      <w:lvlJc w:val="left"/>
      <w:pPr>
        <w:tabs>
          <w:tab w:val="num" w:pos="5040"/>
        </w:tabs>
        <w:ind w:left="5040" w:hanging="360"/>
      </w:pPr>
      <w:rPr>
        <w:rFonts w:ascii="Symbol" w:hAnsi="Symbol" w:hint="default"/>
      </w:rPr>
    </w:lvl>
    <w:lvl w:ilvl="7" w:tplc="00762622" w:tentative="1">
      <w:start w:val="1"/>
      <w:numFmt w:val="bullet"/>
      <w:lvlText w:val="o"/>
      <w:lvlJc w:val="left"/>
      <w:pPr>
        <w:tabs>
          <w:tab w:val="num" w:pos="5760"/>
        </w:tabs>
        <w:ind w:left="5760" w:hanging="360"/>
      </w:pPr>
      <w:rPr>
        <w:rFonts w:ascii="Courier New" w:hAnsi="Courier New" w:hint="default"/>
      </w:rPr>
    </w:lvl>
    <w:lvl w:ilvl="8" w:tplc="49DCE7E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D964F0"/>
    <w:multiLevelType w:val="multilevel"/>
    <w:tmpl w:val="2FB22A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1ED6F4C"/>
    <w:multiLevelType w:val="hybridMultilevel"/>
    <w:tmpl w:val="0B725ED0"/>
    <w:lvl w:ilvl="0" w:tplc="E4F65132">
      <w:start w:val="1"/>
      <w:numFmt w:val="decimal"/>
      <w:lvlText w:val="%1)"/>
      <w:lvlJc w:val="left"/>
      <w:pPr>
        <w:ind w:left="720" w:hanging="360"/>
      </w:pPr>
    </w:lvl>
    <w:lvl w:ilvl="1" w:tplc="6FC66AEA">
      <w:start w:val="1"/>
      <w:numFmt w:val="decimal"/>
      <w:lvlText w:val="%2)"/>
      <w:lvlJc w:val="left"/>
      <w:pPr>
        <w:ind w:left="720" w:hanging="360"/>
      </w:pPr>
    </w:lvl>
    <w:lvl w:ilvl="2" w:tplc="1F52DE68">
      <w:start w:val="1"/>
      <w:numFmt w:val="decimal"/>
      <w:lvlText w:val="%3)"/>
      <w:lvlJc w:val="left"/>
      <w:pPr>
        <w:ind w:left="720" w:hanging="360"/>
      </w:pPr>
    </w:lvl>
    <w:lvl w:ilvl="3" w:tplc="EF58A912">
      <w:start w:val="1"/>
      <w:numFmt w:val="decimal"/>
      <w:lvlText w:val="%4)"/>
      <w:lvlJc w:val="left"/>
      <w:pPr>
        <w:ind w:left="720" w:hanging="360"/>
      </w:pPr>
    </w:lvl>
    <w:lvl w:ilvl="4" w:tplc="A0DCA41C">
      <w:start w:val="1"/>
      <w:numFmt w:val="decimal"/>
      <w:lvlText w:val="%5)"/>
      <w:lvlJc w:val="left"/>
      <w:pPr>
        <w:ind w:left="720" w:hanging="360"/>
      </w:pPr>
    </w:lvl>
    <w:lvl w:ilvl="5" w:tplc="5282DF7A">
      <w:start w:val="1"/>
      <w:numFmt w:val="decimal"/>
      <w:lvlText w:val="%6)"/>
      <w:lvlJc w:val="left"/>
      <w:pPr>
        <w:ind w:left="720" w:hanging="360"/>
      </w:pPr>
    </w:lvl>
    <w:lvl w:ilvl="6" w:tplc="E6F6E804">
      <w:start w:val="1"/>
      <w:numFmt w:val="decimal"/>
      <w:lvlText w:val="%7)"/>
      <w:lvlJc w:val="left"/>
      <w:pPr>
        <w:ind w:left="720" w:hanging="360"/>
      </w:pPr>
    </w:lvl>
    <w:lvl w:ilvl="7" w:tplc="8BC6AE96">
      <w:start w:val="1"/>
      <w:numFmt w:val="decimal"/>
      <w:lvlText w:val="%8)"/>
      <w:lvlJc w:val="left"/>
      <w:pPr>
        <w:ind w:left="720" w:hanging="360"/>
      </w:pPr>
    </w:lvl>
    <w:lvl w:ilvl="8" w:tplc="43961FCA">
      <w:start w:val="1"/>
      <w:numFmt w:val="decimal"/>
      <w:lvlText w:val="%9)"/>
      <w:lvlJc w:val="left"/>
      <w:pPr>
        <w:ind w:left="720" w:hanging="360"/>
      </w:pPr>
    </w:lvl>
  </w:abstractNum>
  <w:abstractNum w:abstractNumId="9" w15:restartNumberingAfterBreak="0">
    <w:nsid w:val="13710F59"/>
    <w:multiLevelType w:val="multilevel"/>
    <w:tmpl w:val="6348284C"/>
    <w:lvl w:ilvl="0">
      <w:start w:val="1"/>
      <w:numFmt w:val="decimal"/>
      <w:pStyle w:val="Baseparagraphnumbered"/>
      <w:lvlText w:val="%1."/>
      <w:lvlJc w:val="left"/>
      <w:pPr>
        <w:ind w:left="1637" w:hanging="360"/>
      </w:pPr>
      <w:rPr>
        <w:rFonts w:cs="Times New Roman" w:hint="default"/>
      </w:rPr>
    </w:lvl>
    <w:lvl w:ilvl="1">
      <w:start w:val="1"/>
      <w:numFmt w:val="lowerLetter"/>
      <w:lvlText w:val="%2."/>
      <w:lvlJc w:val="left"/>
      <w:pPr>
        <w:ind w:left="2007" w:hanging="360"/>
      </w:pPr>
      <w:rPr>
        <w:rFonts w:cs="Times New Roman" w:hint="default"/>
      </w:rPr>
    </w:lvl>
    <w:lvl w:ilvl="2">
      <w:start w:val="1"/>
      <w:numFmt w:val="lowerRoman"/>
      <w:lvlText w:val="%3."/>
      <w:lvlJc w:val="right"/>
      <w:pPr>
        <w:ind w:left="2727" w:hanging="180"/>
      </w:pPr>
      <w:rPr>
        <w:rFonts w:cs="Times New Roman" w:hint="default"/>
      </w:rPr>
    </w:lvl>
    <w:lvl w:ilvl="3">
      <w:start w:val="1"/>
      <w:numFmt w:val="decimal"/>
      <w:lvlText w:val="%4."/>
      <w:lvlJc w:val="left"/>
      <w:pPr>
        <w:ind w:left="3447" w:hanging="360"/>
      </w:pPr>
      <w:rPr>
        <w:rFonts w:cs="Times New Roman" w:hint="default"/>
      </w:rPr>
    </w:lvl>
    <w:lvl w:ilvl="4">
      <w:start w:val="1"/>
      <w:numFmt w:val="lowerLetter"/>
      <w:lvlText w:val="%5."/>
      <w:lvlJc w:val="left"/>
      <w:pPr>
        <w:ind w:left="4167" w:hanging="360"/>
      </w:pPr>
      <w:rPr>
        <w:rFonts w:cs="Times New Roman" w:hint="default"/>
      </w:rPr>
    </w:lvl>
    <w:lvl w:ilvl="5">
      <w:start w:val="1"/>
      <w:numFmt w:val="lowerRoman"/>
      <w:lvlText w:val="%6."/>
      <w:lvlJc w:val="right"/>
      <w:pPr>
        <w:ind w:left="4887" w:hanging="180"/>
      </w:pPr>
      <w:rPr>
        <w:rFonts w:cs="Times New Roman" w:hint="default"/>
      </w:rPr>
    </w:lvl>
    <w:lvl w:ilvl="6">
      <w:start w:val="1"/>
      <w:numFmt w:val="decimal"/>
      <w:lvlText w:val="%7."/>
      <w:lvlJc w:val="left"/>
      <w:pPr>
        <w:ind w:left="5607" w:hanging="360"/>
      </w:pPr>
      <w:rPr>
        <w:rFonts w:cs="Times New Roman" w:hint="default"/>
      </w:rPr>
    </w:lvl>
    <w:lvl w:ilvl="7">
      <w:start w:val="1"/>
      <w:numFmt w:val="lowerLetter"/>
      <w:lvlText w:val="%8."/>
      <w:lvlJc w:val="left"/>
      <w:pPr>
        <w:ind w:left="6327" w:hanging="360"/>
      </w:pPr>
      <w:rPr>
        <w:rFonts w:cs="Times New Roman" w:hint="default"/>
      </w:rPr>
    </w:lvl>
    <w:lvl w:ilvl="8">
      <w:start w:val="1"/>
      <w:numFmt w:val="lowerRoman"/>
      <w:lvlText w:val="%9."/>
      <w:lvlJc w:val="right"/>
      <w:pPr>
        <w:ind w:left="7047" w:hanging="180"/>
      </w:pPr>
      <w:rPr>
        <w:rFonts w:cs="Times New Roman" w:hint="default"/>
      </w:rPr>
    </w:lvl>
  </w:abstractNum>
  <w:abstractNum w:abstractNumId="10" w15:restartNumberingAfterBreak="0">
    <w:nsid w:val="1CED6282"/>
    <w:multiLevelType w:val="multilevel"/>
    <w:tmpl w:val="5D8418C4"/>
    <w:lvl w:ilvl="0">
      <w:start w:val="1"/>
      <w:numFmt w:val="decimal"/>
      <w:pStyle w:val="GliederungmitNummerierung"/>
      <w:lvlText w:val="%1"/>
      <w:lvlJc w:val="left"/>
      <w:pPr>
        <w:tabs>
          <w:tab w:val="num" w:pos="357"/>
        </w:tabs>
        <w:ind w:left="357" w:hanging="357"/>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361"/>
        </w:tabs>
        <w:ind w:left="1361" w:hanging="567"/>
      </w:pPr>
      <w:rPr>
        <w:rFonts w:cs="Times New Roman" w:hint="default"/>
      </w:rPr>
    </w:lvl>
    <w:lvl w:ilvl="3">
      <w:start w:val="1"/>
      <w:numFmt w:val="decimal"/>
      <w:lvlText w:val="%1.%2.%3.%4"/>
      <w:lvlJc w:val="left"/>
      <w:pPr>
        <w:tabs>
          <w:tab w:val="num" w:pos="2098"/>
        </w:tabs>
        <w:ind w:left="2098" w:hanging="737"/>
      </w:pPr>
      <w:rPr>
        <w:rFonts w:cs="Times New Roman" w:hint="default"/>
      </w:rPr>
    </w:lvl>
    <w:lvl w:ilvl="4">
      <w:start w:val="1"/>
      <w:numFmt w:val="decimal"/>
      <w:lvlText w:val="%1.%2.%3.%4.%5"/>
      <w:lvlJc w:val="left"/>
      <w:pPr>
        <w:tabs>
          <w:tab w:val="num" w:pos="3062"/>
        </w:tabs>
        <w:ind w:left="3062" w:hanging="964"/>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 w15:restartNumberingAfterBreak="0">
    <w:nsid w:val="227A5968"/>
    <w:multiLevelType w:val="hybridMultilevel"/>
    <w:tmpl w:val="61CEA2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A543C2"/>
    <w:multiLevelType w:val="hybridMultilevel"/>
    <w:tmpl w:val="540A62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C050D9"/>
    <w:multiLevelType w:val="hybridMultilevel"/>
    <w:tmpl w:val="F7E0F274"/>
    <w:lvl w:ilvl="0" w:tplc="9BAEF704">
      <w:start w:val="1"/>
      <w:numFmt w:val="lowerLetter"/>
      <w:pStyle w:val="Nummerierungsart4"/>
      <w:lvlText w:val="%1)"/>
      <w:lvlJc w:val="left"/>
      <w:pPr>
        <w:tabs>
          <w:tab w:val="num" w:pos="357"/>
        </w:tabs>
        <w:ind w:left="357" w:hanging="357"/>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B2B3A92"/>
    <w:multiLevelType w:val="singleLevel"/>
    <w:tmpl w:val="73D64A0E"/>
    <w:name w:val="Considérant__1"/>
    <w:lvl w:ilvl="0">
      <w:start w:val="1"/>
      <w:numFmt w:val="decimal"/>
      <w:lvlRestart w:val="0"/>
      <w:pStyle w:val="Considrant"/>
      <w:lvlText w:val="(%1)"/>
      <w:lvlJc w:val="left"/>
      <w:pPr>
        <w:tabs>
          <w:tab w:val="num" w:pos="709"/>
        </w:tabs>
        <w:ind w:left="709" w:hanging="709"/>
      </w:pPr>
    </w:lvl>
  </w:abstractNum>
  <w:abstractNum w:abstractNumId="15" w15:restartNumberingAfterBreak="0">
    <w:nsid w:val="2ED13935"/>
    <w:multiLevelType w:val="multilevel"/>
    <w:tmpl w:val="EA4CE8C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7D7F02"/>
    <w:multiLevelType w:val="multilevel"/>
    <w:tmpl w:val="0407001D"/>
    <w:numStyleLink w:val="Formatvorlage3"/>
  </w:abstractNum>
  <w:abstractNum w:abstractNumId="17" w15:restartNumberingAfterBreak="0">
    <w:nsid w:val="33057CB8"/>
    <w:multiLevelType w:val="hybridMultilevel"/>
    <w:tmpl w:val="760C1692"/>
    <w:lvl w:ilvl="0" w:tplc="236EA62C">
      <w:start w:val="1"/>
      <w:numFmt w:val="decimal"/>
      <w:pStyle w:val="InstructionsText2"/>
      <w:lvlText w:val="%1."/>
      <w:lvlJc w:val="left"/>
      <w:pPr>
        <w:ind w:left="1353" w:hanging="360"/>
      </w:pPr>
      <w:rPr>
        <w:rFonts w:cs="Times New Roman"/>
      </w:rPr>
    </w:lvl>
    <w:lvl w:ilvl="1" w:tplc="5F56F3B6">
      <w:start w:val="1"/>
      <w:numFmt w:val="lowerLetter"/>
      <w:lvlText w:val="(%2)"/>
      <w:lvlJc w:val="left"/>
      <w:pPr>
        <w:ind w:left="1440" w:hanging="360"/>
      </w:pPr>
      <w:rPr>
        <w:rFonts w:cs="Times New Roman" w:hint="default"/>
      </w:rPr>
    </w:lvl>
    <w:lvl w:ilvl="2" w:tplc="04070005">
      <w:start w:val="1"/>
      <w:numFmt w:val="lowerRoman"/>
      <w:lvlText w:val="%3."/>
      <w:lvlJc w:val="right"/>
      <w:pPr>
        <w:ind w:left="2160" w:hanging="180"/>
      </w:pPr>
      <w:rPr>
        <w:rFonts w:cs="Times New Roman"/>
      </w:rPr>
    </w:lvl>
    <w:lvl w:ilvl="3" w:tplc="04070001">
      <w:start w:val="1"/>
      <w:numFmt w:val="decimal"/>
      <w:lvlText w:val="%4."/>
      <w:lvlJc w:val="left"/>
      <w:pPr>
        <w:ind w:left="2880" w:hanging="360"/>
      </w:pPr>
      <w:rPr>
        <w:rFonts w:cs="Times New Roman"/>
      </w:rPr>
    </w:lvl>
    <w:lvl w:ilvl="4" w:tplc="04070003" w:tentative="1">
      <w:start w:val="1"/>
      <w:numFmt w:val="lowerLetter"/>
      <w:lvlText w:val="%5."/>
      <w:lvlJc w:val="left"/>
      <w:pPr>
        <w:ind w:left="3600" w:hanging="360"/>
      </w:pPr>
      <w:rPr>
        <w:rFonts w:cs="Times New Roman"/>
      </w:rPr>
    </w:lvl>
    <w:lvl w:ilvl="5" w:tplc="04070005" w:tentative="1">
      <w:start w:val="1"/>
      <w:numFmt w:val="lowerRoman"/>
      <w:lvlText w:val="%6."/>
      <w:lvlJc w:val="right"/>
      <w:pPr>
        <w:ind w:left="4320" w:hanging="180"/>
      </w:pPr>
      <w:rPr>
        <w:rFonts w:cs="Times New Roman"/>
      </w:rPr>
    </w:lvl>
    <w:lvl w:ilvl="6" w:tplc="04070001" w:tentative="1">
      <w:start w:val="1"/>
      <w:numFmt w:val="decimal"/>
      <w:lvlText w:val="%7."/>
      <w:lvlJc w:val="left"/>
      <w:pPr>
        <w:ind w:left="5040" w:hanging="360"/>
      </w:pPr>
      <w:rPr>
        <w:rFonts w:cs="Times New Roman"/>
      </w:rPr>
    </w:lvl>
    <w:lvl w:ilvl="7" w:tplc="04070003" w:tentative="1">
      <w:start w:val="1"/>
      <w:numFmt w:val="lowerLetter"/>
      <w:lvlText w:val="%8."/>
      <w:lvlJc w:val="left"/>
      <w:pPr>
        <w:ind w:left="5760" w:hanging="360"/>
      </w:pPr>
      <w:rPr>
        <w:rFonts w:cs="Times New Roman"/>
      </w:rPr>
    </w:lvl>
    <w:lvl w:ilvl="8" w:tplc="04070005" w:tentative="1">
      <w:start w:val="1"/>
      <w:numFmt w:val="lowerRoman"/>
      <w:lvlText w:val="%9."/>
      <w:lvlJc w:val="right"/>
      <w:pPr>
        <w:ind w:left="6480" w:hanging="180"/>
      </w:pPr>
      <w:rPr>
        <w:rFonts w:cs="Times New Roman"/>
      </w:rPr>
    </w:lvl>
  </w:abstractNum>
  <w:abstractNum w:abstractNumId="18" w15:restartNumberingAfterBreak="0">
    <w:nsid w:val="37226525"/>
    <w:multiLevelType w:val="hybridMultilevel"/>
    <w:tmpl w:val="9872E646"/>
    <w:lvl w:ilvl="0" w:tplc="0C0A0001">
      <w:start w:val="1"/>
      <w:numFmt w:val="decimal"/>
      <w:pStyle w:val="Nummerierungsart2"/>
      <w:lvlText w:val="%1)"/>
      <w:lvlJc w:val="left"/>
      <w:pPr>
        <w:tabs>
          <w:tab w:val="num" w:pos="360"/>
        </w:tabs>
        <w:ind w:left="360" w:hanging="360"/>
      </w:pPr>
      <w:rPr>
        <w:rFonts w:cs="Times New Roman" w:hint="default"/>
      </w:rPr>
    </w:lvl>
    <w:lvl w:ilvl="1" w:tplc="040A0003" w:tentative="1">
      <w:start w:val="1"/>
      <w:numFmt w:val="lowerLetter"/>
      <w:lvlText w:val="%2."/>
      <w:lvlJc w:val="left"/>
      <w:pPr>
        <w:tabs>
          <w:tab w:val="num" w:pos="1440"/>
        </w:tabs>
        <w:ind w:left="1440" w:hanging="360"/>
      </w:pPr>
      <w:rPr>
        <w:rFonts w:cs="Times New Roman"/>
      </w:rPr>
    </w:lvl>
    <w:lvl w:ilvl="2" w:tplc="040A0005" w:tentative="1">
      <w:start w:val="1"/>
      <w:numFmt w:val="lowerRoman"/>
      <w:lvlText w:val="%3."/>
      <w:lvlJc w:val="right"/>
      <w:pPr>
        <w:tabs>
          <w:tab w:val="num" w:pos="2160"/>
        </w:tabs>
        <w:ind w:left="2160" w:hanging="180"/>
      </w:pPr>
      <w:rPr>
        <w:rFonts w:cs="Times New Roman"/>
      </w:rPr>
    </w:lvl>
    <w:lvl w:ilvl="3" w:tplc="040A0001" w:tentative="1">
      <w:start w:val="1"/>
      <w:numFmt w:val="decimal"/>
      <w:lvlText w:val="%4."/>
      <w:lvlJc w:val="left"/>
      <w:pPr>
        <w:tabs>
          <w:tab w:val="num" w:pos="2880"/>
        </w:tabs>
        <w:ind w:left="2880" w:hanging="360"/>
      </w:pPr>
      <w:rPr>
        <w:rFonts w:cs="Times New Roman"/>
      </w:rPr>
    </w:lvl>
    <w:lvl w:ilvl="4" w:tplc="040A0003" w:tentative="1">
      <w:start w:val="1"/>
      <w:numFmt w:val="lowerLetter"/>
      <w:lvlText w:val="%5."/>
      <w:lvlJc w:val="left"/>
      <w:pPr>
        <w:tabs>
          <w:tab w:val="num" w:pos="3600"/>
        </w:tabs>
        <w:ind w:left="3600" w:hanging="360"/>
      </w:pPr>
      <w:rPr>
        <w:rFonts w:cs="Times New Roman"/>
      </w:rPr>
    </w:lvl>
    <w:lvl w:ilvl="5" w:tplc="040A0005" w:tentative="1">
      <w:start w:val="1"/>
      <w:numFmt w:val="lowerRoman"/>
      <w:lvlText w:val="%6."/>
      <w:lvlJc w:val="right"/>
      <w:pPr>
        <w:tabs>
          <w:tab w:val="num" w:pos="4320"/>
        </w:tabs>
        <w:ind w:left="4320" w:hanging="180"/>
      </w:pPr>
      <w:rPr>
        <w:rFonts w:cs="Times New Roman"/>
      </w:rPr>
    </w:lvl>
    <w:lvl w:ilvl="6" w:tplc="040A0001" w:tentative="1">
      <w:start w:val="1"/>
      <w:numFmt w:val="decimal"/>
      <w:lvlText w:val="%7."/>
      <w:lvlJc w:val="left"/>
      <w:pPr>
        <w:tabs>
          <w:tab w:val="num" w:pos="5040"/>
        </w:tabs>
        <w:ind w:left="5040" w:hanging="360"/>
      </w:pPr>
      <w:rPr>
        <w:rFonts w:cs="Times New Roman"/>
      </w:rPr>
    </w:lvl>
    <w:lvl w:ilvl="7" w:tplc="040A0003" w:tentative="1">
      <w:start w:val="1"/>
      <w:numFmt w:val="lowerLetter"/>
      <w:lvlText w:val="%8."/>
      <w:lvlJc w:val="left"/>
      <w:pPr>
        <w:tabs>
          <w:tab w:val="num" w:pos="5760"/>
        </w:tabs>
        <w:ind w:left="5760" w:hanging="360"/>
      </w:pPr>
      <w:rPr>
        <w:rFonts w:cs="Times New Roman"/>
      </w:rPr>
    </w:lvl>
    <w:lvl w:ilvl="8" w:tplc="040A0005" w:tentative="1">
      <w:start w:val="1"/>
      <w:numFmt w:val="lowerRoman"/>
      <w:lvlText w:val="%9."/>
      <w:lvlJc w:val="right"/>
      <w:pPr>
        <w:tabs>
          <w:tab w:val="num" w:pos="6480"/>
        </w:tabs>
        <w:ind w:left="6480" w:hanging="180"/>
      </w:pPr>
      <w:rPr>
        <w:rFonts w:cs="Times New Roman"/>
      </w:rPr>
    </w:lvl>
  </w:abstractNum>
  <w:abstractNum w:abstractNumId="19" w15:restartNumberingAfterBreak="0">
    <w:nsid w:val="3A0333F1"/>
    <w:multiLevelType w:val="hybridMultilevel"/>
    <w:tmpl w:val="8B967D4E"/>
    <w:lvl w:ilvl="0" w:tplc="963C153A">
      <w:start w:val="1"/>
      <w:numFmt w:val="lowerLetter"/>
      <w:pStyle w:val="Numberedtitlelevel4"/>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D57312"/>
    <w:multiLevelType w:val="multilevel"/>
    <w:tmpl w:val="1864F90A"/>
    <w:styleLink w:val="Formatvorlage2"/>
    <w:lvl w:ilvl="0">
      <w:start w:val="1"/>
      <w:numFmt w:val="bullet"/>
      <w:lvlText w:val=""/>
      <w:lvlJc w:val="left"/>
      <w:pPr>
        <w:ind w:left="360" w:hanging="360"/>
      </w:pPr>
      <w:rPr>
        <w:rFonts w:ascii="Symbol" w:hAnsi="Symbol" w:hint="default"/>
        <w:sz w:val="28"/>
      </w:rPr>
    </w:lvl>
    <w:lvl w:ilvl="1">
      <w:start w:val="1"/>
      <w:numFmt w:val="bullet"/>
      <w:lvlText w:val=""/>
      <w:lvlJc w:val="left"/>
      <w:pPr>
        <w:tabs>
          <w:tab w:val="num" w:pos="720"/>
        </w:tabs>
        <w:ind w:left="720" w:hanging="360"/>
      </w:pPr>
      <w:rPr>
        <w:rFonts w:ascii="Symbol" w:hAnsi="Symbol" w:hint="default"/>
        <w:sz w:val="24"/>
      </w:rPr>
    </w:lvl>
    <w:lvl w:ilvl="2">
      <w:start w:val="1"/>
      <w:numFmt w:val="bullet"/>
      <w:lvlText w:val=""/>
      <w:lvlJc w:val="left"/>
      <w:pPr>
        <w:tabs>
          <w:tab w:val="num" w:pos="1072"/>
        </w:tabs>
        <w:ind w:left="1072" w:hanging="358"/>
      </w:pPr>
      <w:rPr>
        <w:rFonts w:ascii="Symbol" w:hAnsi="Symbol" w:hint="default"/>
        <w:sz w:val="22"/>
      </w:rPr>
    </w:lvl>
    <w:lvl w:ilvl="3">
      <w:start w:val="1"/>
      <w:numFmt w:val="bullet"/>
      <w:lvlText w:val=""/>
      <w:lvlJc w:val="left"/>
      <w:pPr>
        <w:tabs>
          <w:tab w:val="num" w:pos="1429"/>
        </w:tabs>
        <w:ind w:left="1429" w:hanging="357"/>
      </w:pPr>
      <w:rPr>
        <w:rFonts w:ascii="Symbol" w:hAnsi="Symbol" w:hint="default"/>
        <w:sz w:val="22"/>
      </w:rPr>
    </w:lvl>
    <w:lvl w:ilvl="4">
      <w:start w:val="1"/>
      <w:numFmt w:val="bullet"/>
      <w:lvlText w:val=""/>
      <w:lvlJc w:val="left"/>
      <w:pPr>
        <w:tabs>
          <w:tab w:val="num" w:pos="1786"/>
        </w:tabs>
        <w:ind w:left="1786" w:hanging="357"/>
      </w:pPr>
      <w:rPr>
        <w:rFonts w:ascii="Symbol" w:hAnsi="Symbol" w:hint="default"/>
        <w:sz w:val="22"/>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1" w15:restartNumberingAfterBreak="0">
    <w:nsid w:val="3D2D23E4"/>
    <w:multiLevelType w:val="multilevel"/>
    <w:tmpl w:val="466E3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2796673"/>
    <w:multiLevelType w:val="multilevel"/>
    <w:tmpl w:val="19529D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4C27D48"/>
    <w:multiLevelType w:val="hybridMultilevel"/>
    <w:tmpl w:val="B15CC8FC"/>
    <w:lvl w:ilvl="0" w:tplc="090C4D3E">
      <w:start w:val="1"/>
      <w:numFmt w:val="bullet"/>
      <w:pStyle w:val="bullet2"/>
      <w:lvlText w:val=""/>
      <w:lvlJc w:val="left"/>
      <w:pPr>
        <w:tabs>
          <w:tab w:val="num" w:pos="680"/>
        </w:tabs>
        <w:ind w:left="680" w:hanging="34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66019F9"/>
    <w:multiLevelType w:val="hybridMultilevel"/>
    <w:tmpl w:val="292E3D4C"/>
    <w:lvl w:ilvl="0" w:tplc="19FEA394">
      <w:start w:val="1"/>
      <w:numFmt w:val="decimal"/>
      <w:lvlText w:val="%1)"/>
      <w:lvlJc w:val="left"/>
      <w:pPr>
        <w:ind w:left="1020" w:hanging="360"/>
      </w:pPr>
    </w:lvl>
    <w:lvl w:ilvl="1" w:tplc="F488B41A">
      <w:start w:val="1"/>
      <w:numFmt w:val="decimal"/>
      <w:lvlText w:val="%2)"/>
      <w:lvlJc w:val="left"/>
      <w:pPr>
        <w:ind w:left="1020" w:hanging="360"/>
      </w:pPr>
    </w:lvl>
    <w:lvl w:ilvl="2" w:tplc="EB14E924">
      <w:start w:val="1"/>
      <w:numFmt w:val="decimal"/>
      <w:lvlText w:val="%3)"/>
      <w:lvlJc w:val="left"/>
      <w:pPr>
        <w:ind w:left="1020" w:hanging="360"/>
      </w:pPr>
    </w:lvl>
    <w:lvl w:ilvl="3" w:tplc="BB66C98C">
      <w:start w:val="1"/>
      <w:numFmt w:val="decimal"/>
      <w:lvlText w:val="%4)"/>
      <w:lvlJc w:val="left"/>
      <w:pPr>
        <w:ind w:left="1020" w:hanging="360"/>
      </w:pPr>
    </w:lvl>
    <w:lvl w:ilvl="4" w:tplc="8EE0CA5C">
      <w:start w:val="1"/>
      <w:numFmt w:val="decimal"/>
      <w:lvlText w:val="%5)"/>
      <w:lvlJc w:val="left"/>
      <w:pPr>
        <w:ind w:left="1020" w:hanging="360"/>
      </w:pPr>
    </w:lvl>
    <w:lvl w:ilvl="5" w:tplc="E6AC0AC4">
      <w:start w:val="1"/>
      <w:numFmt w:val="decimal"/>
      <w:lvlText w:val="%6)"/>
      <w:lvlJc w:val="left"/>
      <w:pPr>
        <w:ind w:left="1020" w:hanging="360"/>
      </w:pPr>
    </w:lvl>
    <w:lvl w:ilvl="6" w:tplc="5B121696">
      <w:start w:val="1"/>
      <w:numFmt w:val="decimal"/>
      <w:lvlText w:val="%7)"/>
      <w:lvlJc w:val="left"/>
      <w:pPr>
        <w:ind w:left="1020" w:hanging="360"/>
      </w:pPr>
    </w:lvl>
    <w:lvl w:ilvl="7" w:tplc="ECBC9EB2">
      <w:start w:val="1"/>
      <w:numFmt w:val="decimal"/>
      <w:lvlText w:val="%8)"/>
      <w:lvlJc w:val="left"/>
      <w:pPr>
        <w:ind w:left="1020" w:hanging="360"/>
      </w:pPr>
    </w:lvl>
    <w:lvl w:ilvl="8" w:tplc="B4EE7ED4">
      <w:start w:val="1"/>
      <w:numFmt w:val="decimal"/>
      <w:lvlText w:val="%9)"/>
      <w:lvlJc w:val="left"/>
      <w:pPr>
        <w:ind w:left="1020" w:hanging="360"/>
      </w:pPr>
    </w:lvl>
  </w:abstractNum>
  <w:abstractNum w:abstractNumId="25" w15:restartNumberingAfterBreak="0">
    <w:nsid w:val="481D4A6D"/>
    <w:multiLevelType w:val="multilevel"/>
    <w:tmpl w:val="180608BE"/>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9772236"/>
    <w:multiLevelType w:val="hybridMultilevel"/>
    <w:tmpl w:val="E974A63C"/>
    <w:lvl w:ilvl="0" w:tplc="91F28F2A">
      <w:start w:val="1"/>
      <w:numFmt w:val="bullet"/>
      <w:pStyle w:val="Aufzhlungszeichen4"/>
      <w:lvlText w:val=""/>
      <w:lvlJc w:val="left"/>
      <w:pPr>
        <w:tabs>
          <w:tab w:val="num" w:pos="357"/>
        </w:tabs>
        <w:ind w:left="357" w:hanging="357"/>
      </w:pPr>
      <w:rPr>
        <w:rFonts w:ascii="Wingdings" w:hAnsi="Wingdings" w:hint="default"/>
        <w:sz w:val="28"/>
      </w:rPr>
    </w:lvl>
    <w:lvl w:ilvl="1" w:tplc="78D02204">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B95802"/>
    <w:multiLevelType w:val="multilevel"/>
    <w:tmpl w:val="0407001D"/>
    <w:styleLink w:val="Formatvorlage3"/>
    <w:lvl w:ilvl="0">
      <w:start w:val="1"/>
      <w:numFmt w:val="none"/>
      <w:pStyle w:val="Heading4"/>
      <w:lvlText w:val="%1"/>
      <w:lvlJc w:val="left"/>
      <w:pPr>
        <w:ind w:left="360" w:hanging="360"/>
      </w:pPr>
      <w:rPr>
        <w:rFonts w:ascii="Verdana" w:hAnsi="Verdana" w:cs="Times New Roman" w:hint="default"/>
        <w:b/>
        <w:color w:val="auto"/>
        <w:sz w:val="20"/>
        <w:u w:val="single"/>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8" w15:restartNumberingAfterBreak="0">
    <w:nsid w:val="4EF30DF1"/>
    <w:multiLevelType w:val="hybridMultilevel"/>
    <w:tmpl w:val="95BE37A4"/>
    <w:lvl w:ilvl="0" w:tplc="B2366634">
      <w:start w:val="1"/>
      <w:numFmt w:val="upperRoman"/>
      <w:pStyle w:val="Nummerierungsart3"/>
      <w:lvlText w:val="%1."/>
      <w:lvlJc w:val="left"/>
      <w:pPr>
        <w:tabs>
          <w:tab w:val="num" w:pos="357"/>
        </w:tabs>
        <w:ind w:left="357" w:hanging="357"/>
      </w:pPr>
      <w:rPr>
        <w:rFonts w:cs="Times New Roman" w:hint="default"/>
      </w:rPr>
    </w:lvl>
    <w:lvl w:ilvl="1" w:tplc="04070003" w:tentative="1">
      <w:start w:val="1"/>
      <w:numFmt w:val="lowerLetter"/>
      <w:lvlText w:val="%2."/>
      <w:lvlJc w:val="left"/>
      <w:pPr>
        <w:tabs>
          <w:tab w:val="num" w:pos="1440"/>
        </w:tabs>
        <w:ind w:left="1440" w:hanging="360"/>
      </w:pPr>
      <w:rPr>
        <w:rFonts w:cs="Times New Roman"/>
      </w:rPr>
    </w:lvl>
    <w:lvl w:ilvl="2" w:tplc="04070005" w:tentative="1">
      <w:start w:val="1"/>
      <w:numFmt w:val="lowerRoman"/>
      <w:lvlText w:val="%3."/>
      <w:lvlJc w:val="right"/>
      <w:pPr>
        <w:tabs>
          <w:tab w:val="num" w:pos="2160"/>
        </w:tabs>
        <w:ind w:left="2160" w:hanging="180"/>
      </w:pPr>
      <w:rPr>
        <w:rFonts w:cs="Times New Roman"/>
      </w:rPr>
    </w:lvl>
    <w:lvl w:ilvl="3" w:tplc="04070001" w:tentative="1">
      <w:start w:val="1"/>
      <w:numFmt w:val="decimal"/>
      <w:lvlText w:val="%4."/>
      <w:lvlJc w:val="left"/>
      <w:pPr>
        <w:tabs>
          <w:tab w:val="num" w:pos="2880"/>
        </w:tabs>
        <w:ind w:left="2880" w:hanging="360"/>
      </w:pPr>
      <w:rPr>
        <w:rFonts w:cs="Times New Roman"/>
      </w:rPr>
    </w:lvl>
    <w:lvl w:ilvl="4" w:tplc="04070003" w:tentative="1">
      <w:start w:val="1"/>
      <w:numFmt w:val="lowerLetter"/>
      <w:lvlText w:val="%5."/>
      <w:lvlJc w:val="left"/>
      <w:pPr>
        <w:tabs>
          <w:tab w:val="num" w:pos="3600"/>
        </w:tabs>
        <w:ind w:left="3600" w:hanging="360"/>
      </w:pPr>
      <w:rPr>
        <w:rFonts w:cs="Times New Roman"/>
      </w:rPr>
    </w:lvl>
    <w:lvl w:ilvl="5" w:tplc="04070005" w:tentative="1">
      <w:start w:val="1"/>
      <w:numFmt w:val="lowerRoman"/>
      <w:lvlText w:val="%6."/>
      <w:lvlJc w:val="right"/>
      <w:pPr>
        <w:tabs>
          <w:tab w:val="num" w:pos="4320"/>
        </w:tabs>
        <w:ind w:left="4320" w:hanging="180"/>
      </w:pPr>
      <w:rPr>
        <w:rFonts w:cs="Times New Roman"/>
      </w:rPr>
    </w:lvl>
    <w:lvl w:ilvl="6" w:tplc="04070001" w:tentative="1">
      <w:start w:val="1"/>
      <w:numFmt w:val="decimal"/>
      <w:lvlText w:val="%7."/>
      <w:lvlJc w:val="left"/>
      <w:pPr>
        <w:tabs>
          <w:tab w:val="num" w:pos="5040"/>
        </w:tabs>
        <w:ind w:left="5040" w:hanging="360"/>
      </w:pPr>
      <w:rPr>
        <w:rFonts w:cs="Times New Roman"/>
      </w:rPr>
    </w:lvl>
    <w:lvl w:ilvl="7" w:tplc="04070003" w:tentative="1">
      <w:start w:val="1"/>
      <w:numFmt w:val="lowerLetter"/>
      <w:lvlText w:val="%8."/>
      <w:lvlJc w:val="left"/>
      <w:pPr>
        <w:tabs>
          <w:tab w:val="num" w:pos="5760"/>
        </w:tabs>
        <w:ind w:left="5760" w:hanging="360"/>
      </w:pPr>
      <w:rPr>
        <w:rFonts w:cs="Times New Roman"/>
      </w:rPr>
    </w:lvl>
    <w:lvl w:ilvl="8" w:tplc="04070005" w:tentative="1">
      <w:start w:val="1"/>
      <w:numFmt w:val="lowerRoman"/>
      <w:lvlText w:val="%9."/>
      <w:lvlJc w:val="right"/>
      <w:pPr>
        <w:tabs>
          <w:tab w:val="num" w:pos="6480"/>
        </w:tabs>
        <w:ind w:left="6480" w:hanging="180"/>
      </w:pPr>
      <w:rPr>
        <w:rFonts w:cs="Times New Roman"/>
      </w:rPr>
    </w:lvl>
  </w:abstractNum>
  <w:abstractNum w:abstractNumId="29" w15:restartNumberingAfterBreak="0">
    <w:nsid w:val="50227369"/>
    <w:multiLevelType w:val="hybridMultilevel"/>
    <w:tmpl w:val="C2D88122"/>
    <w:lvl w:ilvl="0" w:tplc="4A2A8390">
      <w:start w:val="1"/>
      <w:numFmt w:val="decimal"/>
      <w:pStyle w:val="numberedparagraph"/>
      <w:lvlText w:val="%1."/>
      <w:lvlJc w:val="left"/>
      <w:pPr>
        <w:tabs>
          <w:tab w:val="num" w:pos="284"/>
        </w:tabs>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F33427"/>
    <w:multiLevelType w:val="hybridMultilevel"/>
    <w:tmpl w:val="EBB659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A1738F"/>
    <w:multiLevelType w:val="hybridMultilevel"/>
    <w:tmpl w:val="2FE2799E"/>
    <w:lvl w:ilvl="0" w:tplc="04090003">
      <w:start w:val="1"/>
      <w:numFmt w:val="decimal"/>
      <w:pStyle w:val="Instructionsberschrift3"/>
      <w:lvlText w:val="%1.1.1"/>
      <w:lvlJc w:val="left"/>
      <w:pPr>
        <w:ind w:left="720" w:hanging="360"/>
      </w:pPr>
      <w:rPr>
        <w:rFonts w:cs="Times New Roman" w:hint="default"/>
      </w:rPr>
    </w:lvl>
    <w:lvl w:ilvl="1" w:tplc="04090005" w:tentative="1">
      <w:start w:val="1"/>
      <w:numFmt w:val="lowerLetter"/>
      <w:lvlText w:val="%2."/>
      <w:lvlJc w:val="left"/>
      <w:pPr>
        <w:ind w:left="1440" w:hanging="360"/>
      </w:pPr>
      <w:rPr>
        <w:rFonts w:cs="Times New Roman"/>
      </w:rPr>
    </w:lvl>
    <w:lvl w:ilvl="2" w:tplc="04090005">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32" w15:restartNumberingAfterBreak="0">
    <w:nsid w:val="5C951B61"/>
    <w:multiLevelType w:val="hybridMultilevel"/>
    <w:tmpl w:val="121C0A42"/>
    <w:lvl w:ilvl="0" w:tplc="040A0017">
      <w:start w:val="1"/>
      <w:numFmt w:val="bullet"/>
      <w:pStyle w:val="Aufzhlungszeichen2"/>
      <w:lvlText w:val=""/>
      <w:lvlJc w:val="left"/>
      <w:pPr>
        <w:tabs>
          <w:tab w:val="num" w:pos="714"/>
        </w:tabs>
        <w:ind w:left="714" w:hanging="357"/>
      </w:pPr>
      <w:rPr>
        <w:rFonts w:ascii="Wingdings" w:hAnsi="Wingdings" w:hint="default"/>
        <w:sz w:val="32"/>
      </w:rPr>
    </w:lvl>
    <w:lvl w:ilvl="1" w:tplc="040A0019" w:tentative="1">
      <w:start w:val="1"/>
      <w:numFmt w:val="bullet"/>
      <w:lvlText w:val="o"/>
      <w:lvlJc w:val="left"/>
      <w:pPr>
        <w:tabs>
          <w:tab w:val="num" w:pos="1797"/>
        </w:tabs>
        <w:ind w:left="1797" w:hanging="360"/>
      </w:pPr>
      <w:rPr>
        <w:rFonts w:ascii="Courier New" w:hAnsi="Courier New" w:hint="default"/>
      </w:rPr>
    </w:lvl>
    <w:lvl w:ilvl="2" w:tplc="040A001B" w:tentative="1">
      <w:start w:val="1"/>
      <w:numFmt w:val="bullet"/>
      <w:lvlText w:val=""/>
      <w:lvlJc w:val="left"/>
      <w:pPr>
        <w:tabs>
          <w:tab w:val="num" w:pos="2517"/>
        </w:tabs>
        <w:ind w:left="2517" w:hanging="360"/>
      </w:pPr>
      <w:rPr>
        <w:rFonts w:ascii="Wingdings" w:hAnsi="Wingdings" w:hint="default"/>
      </w:rPr>
    </w:lvl>
    <w:lvl w:ilvl="3" w:tplc="040A000F" w:tentative="1">
      <w:start w:val="1"/>
      <w:numFmt w:val="bullet"/>
      <w:lvlText w:val=""/>
      <w:lvlJc w:val="left"/>
      <w:pPr>
        <w:tabs>
          <w:tab w:val="num" w:pos="3237"/>
        </w:tabs>
        <w:ind w:left="3237" w:hanging="360"/>
      </w:pPr>
      <w:rPr>
        <w:rFonts w:ascii="Symbol" w:hAnsi="Symbol" w:hint="default"/>
      </w:rPr>
    </w:lvl>
    <w:lvl w:ilvl="4" w:tplc="040A0019" w:tentative="1">
      <w:start w:val="1"/>
      <w:numFmt w:val="bullet"/>
      <w:lvlText w:val="o"/>
      <w:lvlJc w:val="left"/>
      <w:pPr>
        <w:tabs>
          <w:tab w:val="num" w:pos="3957"/>
        </w:tabs>
        <w:ind w:left="3957" w:hanging="360"/>
      </w:pPr>
      <w:rPr>
        <w:rFonts w:ascii="Courier New" w:hAnsi="Courier New" w:hint="default"/>
      </w:rPr>
    </w:lvl>
    <w:lvl w:ilvl="5" w:tplc="040A001B" w:tentative="1">
      <w:start w:val="1"/>
      <w:numFmt w:val="bullet"/>
      <w:lvlText w:val=""/>
      <w:lvlJc w:val="left"/>
      <w:pPr>
        <w:tabs>
          <w:tab w:val="num" w:pos="4677"/>
        </w:tabs>
        <w:ind w:left="4677" w:hanging="360"/>
      </w:pPr>
      <w:rPr>
        <w:rFonts w:ascii="Wingdings" w:hAnsi="Wingdings" w:hint="default"/>
      </w:rPr>
    </w:lvl>
    <w:lvl w:ilvl="6" w:tplc="040A000F" w:tentative="1">
      <w:start w:val="1"/>
      <w:numFmt w:val="bullet"/>
      <w:lvlText w:val=""/>
      <w:lvlJc w:val="left"/>
      <w:pPr>
        <w:tabs>
          <w:tab w:val="num" w:pos="5397"/>
        </w:tabs>
        <w:ind w:left="5397" w:hanging="360"/>
      </w:pPr>
      <w:rPr>
        <w:rFonts w:ascii="Symbol" w:hAnsi="Symbol" w:hint="default"/>
      </w:rPr>
    </w:lvl>
    <w:lvl w:ilvl="7" w:tplc="040A0019" w:tentative="1">
      <w:start w:val="1"/>
      <w:numFmt w:val="bullet"/>
      <w:lvlText w:val="o"/>
      <w:lvlJc w:val="left"/>
      <w:pPr>
        <w:tabs>
          <w:tab w:val="num" w:pos="6117"/>
        </w:tabs>
        <w:ind w:left="6117" w:hanging="360"/>
      </w:pPr>
      <w:rPr>
        <w:rFonts w:ascii="Courier New" w:hAnsi="Courier New" w:hint="default"/>
      </w:rPr>
    </w:lvl>
    <w:lvl w:ilvl="8" w:tplc="040A001B" w:tentative="1">
      <w:start w:val="1"/>
      <w:numFmt w:val="bullet"/>
      <w:lvlText w:val=""/>
      <w:lvlJc w:val="left"/>
      <w:pPr>
        <w:tabs>
          <w:tab w:val="num" w:pos="6837"/>
        </w:tabs>
        <w:ind w:left="6837" w:hanging="360"/>
      </w:pPr>
      <w:rPr>
        <w:rFonts w:ascii="Wingdings" w:hAnsi="Wingdings" w:hint="default"/>
      </w:rPr>
    </w:lvl>
  </w:abstractNum>
  <w:abstractNum w:abstractNumId="33" w15:restartNumberingAfterBreak="0">
    <w:nsid w:val="602357E2"/>
    <w:multiLevelType w:val="multilevel"/>
    <w:tmpl w:val="EA4CE8C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47057A3"/>
    <w:multiLevelType w:val="hybridMultilevel"/>
    <w:tmpl w:val="13420D26"/>
    <w:lvl w:ilvl="0" w:tplc="91F28F2A">
      <w:start w:val="1"/>
      <w:numFmt w:val="decimal"/>
      <w:pStyle w:val="Nummerierungsart1"/>
      <w:lvlText w:val="%1."/>
      <w:lvlJc w:val="left"/>
      <w:pPr>
        <w:tabs>
          <w:tab w:val="num" w:pos="357"/>
        </w:tabs>
        <w:ind w:left="357" w:hanging="357"/>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66CA2C8C"/>
    <w:multiLevelType w:val="hybridMultilevel"/>
    <w:tmpl w:val="5BF2CFE0"/>
    <w:lvl w:ilvl="0" w:tplc="4BB6D85C">
      <w:start w:val="1"/>
      <w:numFmt w:val="decimal"/>
      <w:pStyle w:val="Instructionsberschrift2"/>
      <w:lvlText w:val="%1.1"/>
      <w:lvlJc w:val="left"/>
      <w:pPr>
        <w:ind w:left="720" w:hanging="360"/>
      </w:pPr>
      <w:rPr>
        <w:rFonts w:cs="Times New Roman" w:hint="default"/>
      </w:rPr>
    </w:lvl>
    <w:lvl w:ilvl="1" w:tplc="E7565B6A">
      <w:start w:val="1"/>
      <w:numFmt w:val="lowerLetter"/>
      <w:lvlText w:val="%2."/>
      <w:lvlJc w:val="left"/>
      <w:pPr>
        <w:ind w:left="1440" w:hanging="360"/>
      </w:pPr>
      <w:rPr>
        <w:rFonts w:cs="Times New Roman"/>
      </w:rPr>
    </w:lvl>
    <w:lvl w:ilvl="2" w:tplc="67A6A44A" w:tentative="1">
      <w:start w:val="1"/>
      <w:numFmt w:val="lowerRoman"/>
      <w:lvlText w:val="%3."/>
      <w:lvlJc w:val="right"/>
      <w:pPr>
        <w:ind w:left="2160" w:hanging="180"/>
      </w:pPr>
      <w:rPr>
        <w:rFonts w:cs="Times New Roman"/>
      </w:rPr>
    </w:lvl>
    <w:lvl w:ilvl="3" w:tplc="21C6EF3C" w:tentative="1">
      <w:start w:val="1"/>
      <w:numFmt w:val="decimal"/>
      <w:lvlText w:val="%4."/>
      <w:lvlJc w:val="left"/>
      <w:pPr>
        <w:ind w:left="2880" w:hanging="360"/>
      </w:pPr>
      <w:rPr>
        <w:rFonts w:cs="Times New Roman"/>
      </w:rPr>
    </w:lvl>
    <w:lvl w:ilvl="4" w:tplc="6C185750" w:tentative="1">
      <w:start w:val="1"/>
      <w:numFmt w:val="lowerLetter"/>
      <w:lvlText w:val="%5."/>
      <w:lvlJc w:val="left"/>
      <w:pPr>
        <w:ind w:left="3600" w:hanging="360"/>
      </w:pPr>
      <w:rPr>
        <w:rFonts w:cs="Times New Roman"/>
      </w:rPr>
    </w:lvl>
    <w:lvl w:ilvl="5" w:tplc="FA46F0F4" w:tentative="1">
      <w:start w:val="1"/>
      <w:numFmt w:val="lowerRoman"/>
      <w:lvlText w:val="%6."/>
      <w:lvlJc w:val="right"/>
      <w:pPr>
        <w:ind w:left="4320" w:hanging="180"/>
      </w:pPr>
      <w:rPr>
        <w:rFonts w:cs="Times New Roman"/>
      </w:rPr>
    </w:lvl>
    <w:lvl w:ilvl="6" w:tplc="84CCF45A" w:tentative="1">
      <w:start w:val="1"/>
      <w:numFmt w:val="decimal"/>
      <w:lvlText w:val="%7."/>
      <w:lvlJc w:val="left"/>
      <w:pPr>
        <w:ind w:left="5040" w:hanging="360"/>
      </w:pPr>
      <w:rPr>
        <w:rFonts w:cs="Times New Roman"/>
      </w:rPr>
    </w:lvl>
    <w:lvl w:ilvl="7" w:tplc="E2FA2386" w:tentative="1">
      <w:start w:val="1"/>
      <w:numFmt w:val="lowerLetter"/>
      <w:lvlText w:val="%8."/>
      <w:lvlJc w:val="left"/>
      <w:pPr>
        <w:ind w:left="5760" w:hanging="360"/>
      </w:pPr>
      <w:rPr>
        <w:rFonts w:cs="Times New Roman"/>
      </w:rPr>
    </w:lvl>
    <w:lvl w:ilvl="8" w:tplc="1E3AE066" w:tentative="1">
      <w:start w:val="1"/>
      <w:numFmt w:val="lowerRoman"/>
      <w:lvlText w:val="%9."/>
      <w:lvlJc w:val="right"/>
      <w:pPr>
        <w:ind w:left="6480" w:hanging="180"/>
      </w:pPr>
      <w:rPr>
        <w:rFonts w:cs="Times New Roman"/>
      </w:rPr>
    </w:lvl>
  </w:abstractNum>
  <w:abstractNum w:abstractNumId="36" w15:restartNumberingAfterBreak="0">
    <w:nsid w:val="68CE774C"/>
    <w:multiLevelType w:val="hybridMultilevel"/>
    <w:tmpl w:val="D1CACE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91B76C0"/>
    <w:multiLevelType w:val="multilevel"/>
    <w:tmpl w:val="A150E8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92F0EC0"/>
    <w:multiLevelType w:val="multilevel"/>
    <w:tmpl w:val="51EEA844"/>
    <w:styleLink w:val="Formatvorlage1"/>
    <w:lvl w:ilvl="0">
      <w:start w:val="1"/>
      <w:numFmt w:val="bullet"/>
      <w:lvlText w:val=""/>
      <w:lvlJc w:val="left"/>
      <w:pPr>
        <w:tabs>
          <w:tab w:val="num" w:pos="360"/>
        </w:tabs>
        <w:ind w:left="360" w:hanging="360"/>
      </w:pPr>
      <w:rPr>
        <w:rFonts w:ascii="Symbol" w:hAnsi="Symbol" w:hint="default"/>
        <w:sz w:val="28"/>
      </w:rPr>
    </w:lvl>
    <w:lvl w:ilvl="1">
      <w:start w:val="1"/>
      <w:numFmt w:val="bullet"/>
      <w:lvlText w:val=""/>
      <w:lvlJc w:val="left"/>
      <w:pPr>
        <w:tabs>
          <w:tab w:val="num" w:pos="720"/>
        </w:tabs>
        <w:ind w:left="720" w:hanging="360"/>
      </w:pPr>
      <w:rPr>
        <w:rFonts w:ascii="Symbol" w:hAnsi="Symbol" w:hint="default"/>
        <w:sz w:val="24"/>
      </w:rPr>
    </w:lvl>
    <w:lvl w:ilvl="2">
      <w:start w:val="1"/>
      <w:numFmt w:val="bullet"/>
      <w:lvlText w:val=""/>
      <w:lvlJc w:val="left"/>
      <w:pPr>
        <w:tabs>
          <w:tab w:val="num" w:pos="1072"/>
        </w:tabs>
        <w:ind w:left="1072" w:hanging="358"/>
      </w:pPr>
      <w:rPr>
        <w:rFonts w:ascii="Symbol" w:hAnsi="Symbol" w:hint="default"/>
        <w:sz w:val="22"/>
      </w:rPr>
    </w:lvl>
    <w:lvl w:ilvl="3">
      <w:start w:val="1"/>
      <w:numFmt w:val="bullet"/>
      <w:lvlText w:val=""/>
      <w:lvlJc w:val="left"/>
      <w:pPr>
        <w:tabs>
          <w:tab w:val="num" w:pos="1429"/>
        </w:tabs>
        <w:ind w:left="1429" w:hanging="357"/>
      </w:pPr>
      <w:rPr>
        <w:rFonts w:ascii="Symbol" w:hAnsi="Symbol" w:hint="default"/>
        <w:sz w:val="28"/>
      </w:rPr>
    </w:lvl>
    <w:lvl w:ilvl="4">
      <w:start w:val="1"/>
      <w:numFmt w:val="bullet"/>
      <w:lvlText w:val=""/>
      <w:lvlJc w:val="left"/>
      <w:pPr>
        <w:tabs>
          <w:tab w:val="num" w:pos="1786"/>
        </w:tabs>
        <w:ind w:left="1786" w:hanging="357"/>
      </w:pPr>
      <w:rPr>
        <w:rFonts w:ascii="Symbol" w:hAnsi="Symbol" w:hint="default"/>
        <w:sz w:val="28"/>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9" w15:restartNumberingAfterBreak="0">
    <w:nsid w:val="69FA5EA3"/>
    <w:multiLevelType w:val="multilevel"/>
    <w:tmpl w:val="D29C4EFC"/>
    <w:styleLink w:val="Formatvorlage4"/>
    <w:lvl w:ilvl="0">
      <w:start w:val="1"/>
      <w:numFmt w:val="decimal"/>
      <w:lvlText w:val="%1."/>
      <w:lvlJc w:val="left"/>
      <w:pPr>
        <w:ind w:left="357" w:hanging="357"/>
      </w:pPr>
      <w:rPr>
        <w:rFonts w:cs="Times New Roman" w:hint="default"/>
        <w:u w:val="single"/>
      </w:rPr>
    </w:lvl>
    <w:lvl w:ilvl="1">
      <w:start w:val="1"/>
      <w:numFmt w:val="decimal"/>
      <w:lvlText w:val="%1.%2."/>
      <w:lvlJc w:val="left"/>
      <w:pPr>
        <w:ind w:left="357"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40" w15:restartNumberingAfterBreak="0">
    <w:nsid w:val="6BCD57BB"/>
    <w:multiLevelType w:val="multilevel"/>
    <w:tmpl w:val="5AD2A3CC"/>
    <w:lvl w:ilvl="0">
      <w:start w:val="1"/>
      <w:numFmt w:val="decimal"/>
      <w:pStyle w:val="Numberedtilelevel1"/>
      <w:lvlText w:val="%1."/>
      <w:lvlJc w:val="left"/>
      <w:pPr>
        <w:ind w:left="0" w:firstLine="0"/>
      </w:pPr>
      <w:rPr>
        <w:rFonts w:hint="default"/>
      </w:rPr>
    </w:lvl>
    <w:lvl w:ilvl="1">
      <w:start w:val="1"/>
      <w:numFmt w:val="decimal"/>
      <w:pStyle w:val="Numberedtitlelevel2"/>
      <w:lvlText w:val="%1.%2"/>
      <w:lvlJc w:val="left"/>
      <w:pPr>
        <w:ind w:left="0" w:firstLine="0"/>
      </w:pPr>
      <w:rPr>
        <w:rFonts w:hint="default"/>
      </w:rPr>
    </w:lvl>
    <w:lvl w:ilvl="2">
      <w:start w:val="1"/>
      <w:numFmt w:val="decimal"/>
      <w:pStyle w:val="Numberedtitlelevel3"/>
      <w:lvlText w:val="%1.%2.%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41" w15:restartNumberingAfterBreak="0">
    <w:nsid w:val="71064D88"/>
    <w:multiLevelType w:val="hybridMultilevel"/>
    <w:tmpl w:val="DACEA436"/>
    <w:lvl w:ilvl="0" w:tplc="3502039C">
      <w:start w:val="1"/>
      <w:numFmt w:val="bullet"/>
      <w:pStyle w:val="List1"/>
      <w:lvlText w:val=""/>
      <w:lvlJc w:val="left"/>
      <w:pPr>
        <w:ind w:left="720" w:hanging="72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242E3E"/>
    <w:multiLevelType w:val="multilevel"/>
    <w:tmpl w:val="51EEA844"/>
    <w:lvl w:ilvl="0">
      <w:start w:val="1"/>
      <w:numFmt w:val="bullet"/>
      <w:pStyle w:val="GliederungmitAufzhlung"/>
      <w:lvlText w:val=""/>
      <w:lvlJc w:val="left"/>
      <w:pPr>
        <w:tabs>
          <w:tab w:val="num" w:pos="360"/>
        </w:tabs>
        <w:ind w:left="360" w:hanging="360"/>
      </w:pPr>
      <w:rPr>
        <w:rFonts w:ascii="Symbol" w:hAnsi="Symbol" w:hint="default"/>
        <w:sz w:val="28"/>
      </w:rPr>
    </w:lvl>
    <w:lvl w:ilvl="1">
      <w:start w:val="1"/>
      <w:numFmt w:val="bullet"/>
      <w:lvlText w:val=""/>
      <w:lvlJc w:val="left"/>
      <w:pPr>
        <w:tabs>
          <w:tab w:val="num" w:pos="720"/>
        </w:tabs>
        <w:ind w:left="720" w:hanging="360"/>
      </w:pPr>
      <w:rPr>
        <w:rFonts w:ascii="Symbol" w:hAnsi="Symbol" w:hint="default"/>
        <w:sz w:val="24"/>
      </w:rPr>
    </w:lvl>
    <w:lvl w:ilvl="2">
      <w:start w:val="1"/>
      <w:numFmt w:val="bullet"/>
      <w:lvlText w:val=""/>
      <w:lvlJc w:val="left"/>
      <w:pPr>
        <w:tabs>
          <w:tab w:val="num" w:pos="1072"/>
        </w:tabs>
        <w:ind w:left="1072" w:hanging="358"/>
      </w:pPr>
      <w:rPr>
        <w:rFonts w:ascii="Symbol" w:hAnsi="Symbol" w:hint="default"/>
        <w:sz w:val="22"/>
      </w:rPr>
    </w:lvl>
    <w:lvl w:ilvl="3">
      <w:start w:val="1"/>
      <w:numFmt w:val="bullet"/>
      <w:lvlText w:val=""/>
      <w:lvlJc w:val="left"/>
      <w:pPr>
        <w:tabs>
          <w:tab w:val="num" w:pos="1429"/>
        </w:tabs>
        <w:ind w:left="1429" w:hanging="357"/>
      </w:pPr>
      <w:rPr>
        <w:rFonts w:ascii="Symbol" w:hAnsi="Symbol" w:hint="default"/>
        <w:sz w:val="18"/>
      </w:rPr>
    </w:lvl>
    <w:lvl w:ilvl="4">
      <w:start w:val="1"/>
      <w:numFmt w:val="bullet"/>
      <w:lvlText w:val=""/>
      <w:lvlJc w:val="left"/>
      <w:pPr>
        <w:tabs>
          <w:tab w:val="num" w:pos="1786"/>
        </w:tabs>
        <w:ind w:left="1786" w:hanging="357"/>
      </w:pPr>
      <w:rPr>
        <w:rFonts w:ascii="Symbol" w:hAnsi="Symbol" w:hint="default"/>
        <w:sz w:val="16"/>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3" w15:restartNumberingAfterBreak="0">
    <w:nsid w:val="72377034"/>
    <w:multiLevelType w:val="hybridMultilevel"/>
    <w:tmpl w:val="D348E89A"/>
    <w:lvl w:ilvl="0" w:tplc="F42CC6B2">
      <w:start w:val="1"/>
      <w:numFmt w:val="bullet"/>
      <w:pStyle w:val="Aufzhlungszeichen3"/>
      <w:lvlText w:val=""/>
      <w:lvlJc w:val="left"/>
      <w:pPr>
        <w:tabs>
          <w:tab w:val="num" w:pos="357"/>
        </w:tabs>
        <w:ind w:left="357" w:hanging="357"/>
      </w:pPr>
      <w:rPr>
        <w:rFonts w:ascii="Wingdings" w:hAnsi="Wingdings" w:hint="default"/>
        <w:sz w:val="22"/>
      </w:rPr>
    </w:lvl>
    <w:lvl w:ilvl="1" w:tplc="3FFC2FA6" w:tentative="1">
      <w:start w:val="1"/>
      <w:numFmt w:val="bullet"/>
      <w:lvlText w:val="o"/>
      <w:lvlJc w:val="left"/>
      <w:pPr>
        <w:tabs>
          <w:tab w:val="num" w:pos="1440"/>
        </w:tabs>
        <w:ind w:left="1440" w:hanging="360"/>
      </w:pPr>
      <w:rPr>
        <w:rFonts w:ascii="Courier New" w:hAnsi="Courier New" w:hint="default"/>
      </w:rPr>
    </w:lvl>
    <w:lvl w:ilvl="2" w:tplc="4DF4E19A" w:tentative="1">
      <w:start w:val="1"/>
      <w:numFmt w:val="bullet"/>
      <w:lvlText w:val=""/>
      <w:lvlJc w:val="left"/>
      <w:pPr>
        <w:tabs>
          <w:tab w:val="num" w:pos="2160"/>
        </w:tabs>
        <w:ind w:left="2160" w:hanging="360"/>
      </w:pPr>
      <w:rPr>
        <w:rFonts w:ascii="Wingdings" w:hAnsi="Wingdings" w:hint="default"/>
      </w:rPr>
    </w:lvl>
    <w:lvl w:ilvl="3" w:tplc="72105B96" w:tentative="1">
      <w:start w:val="1"/>
      <w:numFmt w:val="bullet"/>
      <w:lvlText w:val=""/>
      <w:lvlJc w:val="left"/>
      <w:pPr>
        <w:tabs>
          <w:tab w:val="num" w:pos="2880"/>
        </w:tabs>
        <w:ind w:left="2880" w:hanging="360"/>
      </w:pPr>
      <w:rPr>
        <w:rFonts w:ascii="Symbol" w:hAnsi="Symbol" w:hint="default"/>
      </w:rPr>
    </w:lvl>
    <w:lvl w:ilvl="4" w:tplc="E61A1B3C" w:tentative="1">
      <w:start w:val="1"/>
      <w:numFmt w:val="bullet"/>
      <w:lvlText w:val="o"/>
      <w:lvlJc w:val="left"/>
      <w:pPr>
        <w:tabs>
          <w:tab w:val="num" w:pos="3600"/>
        </w:tabs>
        <w:ind w:left="3600" w:hanging="360"/>
      </w:pPr>
      <w:rPr>
        <w:rFonts w:ascii="Courier New" w:hAnsi="Courier New" w:hint="default"/>
      </w:rPr>
    </w:lvl>
    <w:lvl w:ilvl="5" w:tplc="160AC6CE" w:tentative="1">
      <w:start w:val="1"/>
      <w:numFmt w:val="bullet"/>
      <w:lvlText w:val=""/>
      <w:lvlJc w:val="left"/>
      <w:pPr>
        <w:tabs>
          <w:tab w:val="num" w:pos="4320"/>
        </w:tabs>
        <w:ind w:left="4320" w:hanging="360"/>
      </w:pPr>
      <w:rPr>
        <w:rFonts w:ascii="Wingdings" w:hAnsi="Wingdings" w:hint="default"/>
      </w:rPr>
    </w:lvl>
    <w:lvl w:ilvl="6" w:tplc="88D27BC4" w:tentative="1">
      <w:start w:val="1"/>
      <w:numFmt w:val="bullet"/>
      <w:lvlText w:val=""/>
      <w:lvlJc w:val="left"/>
      <w:pPr>
        <w:tabs>
          <w:tab w:val="num" w:pos="5040"/>
        </w:tabs>
        <w:ind w:left="5040" w:hanging="360"/>
      </w:pPr>
      <w:rPr>
        <w:rFonts w:ascii="Symbol" w:hAnsi="Symbol" w:hint="default"/>
      </w:rPr>
    </w:lvl>
    <w:lvl w:ilvl="7" w:tplc="8D3A7330" w:tentative="1">
      <w:start w:val="1"/>
      <w:numFmt w:val="bullet"/>
      <w:lvlText w:val="o"/>
      <w:lvlJc w:val="left"/>
      <w:pPr>
        <w:tabs>
          <w:tab w:val="num" w:pos="5760"/>
        </w:tabs>
        <w:ind w:left="5760" w:hanging="360"/>
      </w:pPr>
      <w:rPr>
        <w:rFonts w:ascii="Courier New" w:hAnsi="Courier New" w:hint="default"/>
      </w:rPr>
    </w:lvl>
    <w:lvl w:ilvl="8" w:tplc="7F7ADA4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920C6C"/>
    <w:multiLevelType w:val="hybridMultilevel"/>
    <w:tmpl w:val="96F8511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1781338356">
    <w:abstractNumId w:val="6"/>
  </w:num>
  <w:num w:numId="2" w16cid:durableId="183522244">
    <w:abstractNumId w:val="32"/>
  </w:num>
  <w:num w:numId="3" w16cid:durableId="1448502459">
    <w:abstractNumId w:val="43"/>
  </w:num>
  <w:num w:numId="4" w16cid:durableId="889880339">
    <w:abstractNumId w:val="26"/>
  </w:num>
  <w:num w:numId="5" w16cid:durableId="1701934099">
    <w:abstractNumId w:val="38"/>
  </w:num>
  <w:num w:numId="6" w16cid:durableId="1184323459">
    <w:abstractNumId w:val="20"/>
  </w:num>
  <w:num w:numId="7" w16cid:durableId="1581868774">
    <w:abstractNumId w:val="42"/>
  </w:num>
  <w:num w:numId="8" w16cid:durableId="2051303454">
    <w:abstractNumId w:val="10"/>
  </w:num>
  <w:num w:numId="9" w16cid:durableId="1143890874">
    <w:abstractNumId w:val="34"/>
  </w:num>
  <w:num w:numId="10" w16cid:durableId="1965963049">
    <w:abstractNumId w:val="18"/>
  </w:num>
  <w:num w:numId="11" w16cid:durableId="1458716913">
    <w:abstractNumId w:val="28"/>
  </w:num>
  <w:num w:numId="12" w16cid:durableId="177084388">
    <w:abstractNumId w:val="13"/>
  </w:num>
  <w:num w:numId="13" w16cid:durableId="1790856664">
    <w:abstractNumId w:val="35"/>
  </w:num>
  <w:num w:numId="14" w16cid:durableId="1769737822">
    <w:abstractNumId w:val="31"/>
  </w:num>
  <w:num w:numId="15" w16cid:durableId="1279684757">
    <w:abstractNumId w:val="17"/>
  </w:num>
  <w:num w:numId="16" w16cid:durableId="950014290">
    <w:abstractNumId w:val="27"/>
  </w:num>
  <w:num w:numId="17" w16cid:durableId="2020161557">
    <w:abstractNumId w:val="16"/>
  </w:num>
  <w:num w:numId="18" w16cid:durableId="201554976">
    <w:abstractNumId w:val="39"/>
  </w:num>
  <w:num w:numId="19" w16cid:durableId="177550538">
    <w:abstractNumId w:val="9"/>
  </w:num>
  <w:num w:numId="20" w16cid:durableId="353461949">
    <w:abstractNumId w:val="23"/>
  </w:num>
  <w:num w:numId="21" w16cid:durableId="2063013796">
    <w:abstractNumId w:val="5"/>
  </w:num>
  <w:num w:numId="22" w16cid:durableId="762845825">
    <w:abstractNumId w:val="19"/>
  </w:num>
  <w:num w:numId="23" w16cid:durableId="1041706266">
    <w:abstractNumId w:val="41"/>
  </w:num>
  <w:num w:numId="24" w16cid:durableId="659577669">
    <w:abstractNumId w:val="1"/>
  </w:num>
  <w:num w:numId="25" w16cid:durableId="386492986">
    <w:abstractNumId w:val="40"/>
  </w:num>
  <w:num w:numId="26" w16cid:durableId="978190496">
    <w:abstractNumId w:val="29"/>
  </w:num>
  <w:num w:numId="27" w16cid:durableId="162478141">
    <w:abstractNumId w:val="0"/>
  </w:num>
  <w:num w:numId="28" w16cid:durableId="1430082906">
    <w:abstractNumId w:val="14"/>
  </w:num>
  <w:num w:numId="29" w16cid:durableId="516386649">
    <w:abstractNumId w:val="44"/>
  </w:num>
  <w:num w:numId="30" w16cid:durableId="767821238">
    <w:abstractNumId w:val="30"/>
  </w:num>
  <w:num w:numId="31" w16cid:durableId="751318628">
    <w:abstractNumId w:val="36"/>
  </w:num>
  <w:num w:numId="32" w16cid:durableId="1816948894">
    <w:abstractNumId w:val="12"/>
  </w:num>
  <w:num w:numId="33" w16cid:durableId="1185947049">
    <w:abstractNumId w:val="11"/>
  </w:num>
  <w:num w:numId="34" w16cid:durableId="925771827">
    <w:abstractNumId w:val="7"/>
  </w:num>
  <w:num w:numId="35" w16cid:durableId="382868599">
    <w:abstractNumId w:val="2"/>
  </w:num>
  <w:num w:numId="36" w16cid:durableId="686057609">
    <w:abstractNumId w:val="21"/>
  </w:num>
  <w:num w:numId="37" w16cid:durableId="811682017">
    <w:abstractNumId w:val="25"/>
  </w:num>
  <w:num w:numId="38" w16cid:durableId="1103768005">
    <w:abstractNumId w:val="3"/>
  </w:num>
  <w:num w:numId="39" w16cid:durableId="245264688">
    <w:abstractNumId w:val="22"/>
  </w:num>
  <w:num w:numId="40" w16cid:durableId="1967393836">
    <w:abstractNumId w:val="15"/>
  </w:num>
  <w:num w:numId="41" w16cid:durableId="1905213986">
    <w:abstractNumId w:val="37"/>
  </w:num>
  <w:num w:numId="42" w16cid:durableId="1663118330">
    <w:abstractNumId w:val="33"/>
  </w:num>
  <w:num w:numId="43" w16cid:durableId="49766680">
    <w:abstractNumId w:val="24"/>
  </w:num>
  <w:num w:numId="44" w16cid:durableId="43330971">
    <w:abstractNumId w:val="8"/>
  </w:num>
  <w:num w:numId="45" w16cid:durableId="393624952">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es-ES_tradnl" w:vendorID="64" w:dllVersion="0" w:nlCheck="1" w:checkStyle="0"/>
  <w:activeWritingStyle w:appName="MSWord" w:lang="en-GB" w:vendorID="64" w:dllVersion="0" w:nlCheck="1" w:checkStyle="0"/>
  <w:activeWritingStyle w:appName="MSWord" w:lang="fr-BE"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autoHyphenation/>
  <w:hyphenationZone w:val="170"/>
  <w:drawingGridHorizontalSpacing w:val="100"/>
  <w:displayHorizontalDrawingGridEvery w:val="2"/>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igNum" w:val="1"/>
    <w:docVar w:name="LW_DocType" w:val="NORMAL"/>
  </w:docVars>
  <w:rsids>
    <w:rsidRoot w:val="00884FEB"/>
    <w:rsid w:val="000001EC"/>
    <w:rsid w:val="00000255"/>
    <w:rsid w:val="00000F1B"/>
    <w:rsid w:val="00000F70"/>
    <w:rsid w:val="000017F3"/>
    <w:rsid w:val="00001AF1"/>
    <w:rsid w:val="00001C0E"/>
    <w:rsid w:val="000020E5"/>
    <w:rsid w:val="000023DF"/>
    <w:rsid w:val="00002933"/>
    <w:rsid w:val="00002E14"/>
    <w:rsid w:val="00004478"/>
    <w:rsid w:val="000044B7"/>
    <w:rsid w:val="00004978"/>
    <w:rsid w:val="00004D21"/>
    <w:rsid w:val="00004FE8"/>
    <w:rsid w:val="00005078"/>
    <w:rsid w:val="00005765"/>
    <w:rsid w:val="00005FFC"/>
    <w:rsid w:val="000066C0"/>
    <w:rsid w:val="00007147"/>
    <w:rsid w:val="00007605"/>
    <w:rsid w:val="00007D0D"/>
    <w:rsid w:val="00010124"/>
    <w:rsid w:val="00011AFA"/>
    <w:rsid w:val="00011BD0"/>
    <w:rsid w:val="000120EB"/>
    <w:rsid w:val="0001224D"/>
    <w:rsid w:val="0001435A"/>
    <w:rsid w:val="00014890"/>
    <w:rsid w:val="00014DC3"/>
    <w:rsid w:val="00015850"/>
    <w:rsid w:val="0001693F"/>
    <w:rsid w:val="0001698A"/>
    <w:rsid w:val="00020200"/>
    <w:rsid w:val="00020516"/>
    <w:rsid w:val="00020857"/>
    <w:rsid w:val="00020AF9"/>
    <w:rsid w:val="000212B7"/>
    <w:rsid w:val="0002157C"/>
    <w:rsid w:val="00021A05"/>
    <w:rsid w:val="00021A4A"/>
    <w:rsid w:val="0002267E"/>
    <w:rsid w:val="00023102"/>
    <w:rsid w:val="000232E2"/>
    <w:rsid w:val="00023383"/>
    <w:rsid w:val="000242CC"/>
    <w:rsid w:val="000243CE"/>
    <w:rsid w:val="000250FF"/>
    <w:rsid w:val="000253DC"/>
    <w:rsid w:val="00025DCE"/>
    <w:rsid w:val="0002657F"/>
    <w:rsid w:val="00027235"/>
    <w:rsid w:val="00027D90"/>
    <w:rsid w:val="00030E10"/>
    <w:rsid w:val="000313B7"/>
    <w:rsid w:val="000317AE"/>
    <w:rsid w:val="00031FA5"/>
    <w:rsid w:val="000326C1"/>
    <w:rsid w:val="00033B7C"/>
    <w:rsid w:val="00033C55"/>
    <w:rsid w:val="00034431"/>
    <w:rsid w:val="000346A9"/>
    <w:rsid w:val="00034834"/>
    <w:rsid w:val="000359E1"/>
    <w:rsid w:val="00035DCC"/>
    <w:rsid w:val="000364CE"/>
    <w:rsid w:val="00036BB2"/>
    <w:rsid w:val="00037093"/>
    <w:rsid w:val="000377CC"/>
    <w:rsid w:val="00037BAE"/>
    <w:rsid w:val="00037FCC"/>
    <w:rsid w:val="00041451"/>
    <w:rsid w:val="00041480"/>
    <w:rsid w:val="000433C4"/>
    <w:rsid w:val="00045036"/>
    <w:rsid w:val="0004590F"/>
    <w:rsid w:val="00046966"/>
    <w:rsid w:val="00052CAE"/>
    <w:rsid w:val="000530BC"/>
    <w:rsid w:val="00053D85"/>
    <w:rsid w:val="0005400A"/>
    <w:rsid w:val="000548A2"/>
    <w:rsid w:val="00054DC7"/>
    <w:rsid w:val="000550DE"/>
    <w:rsid w:val="0005587D"/>
    <w:rsid w:val="00055989"/>
    <w:rsid w:val="0005609F"/>
    <w:rsid w:val="000565B6"/>
    <w:rsid w:val="00056C0F"/>
    <w:rsid w:val="00056C8D"/>
    <w:rsid w:val="00057154"/>
    <w:rsid w:val="00057234"/>
    <w:rsid w:val="00057362"/>
    <w:rsid w:val="0005746D"/>
    <w:rsid w:val="00057662"/>
    <w:rsid w:val="000611C6"/>
    <w:rsid w:val="00061C24"/>
    <w:rsid w:val="00061C5F"/>
    <w:rsid w:val="00061E48"/>
    <w:rsid w:val="00062837"/>
    <w:rsid w:val="00062A1F"/>
    <w:rsid w:val="00063085"/>
    <w:rsid w:val="00063B3F"/>
    <w:rsid w:val="00064158"/>
    <w:rsid w:val="0006666B"/>
    <w:rsid w:val="00067DC1"/>
    <w:rsid w:val="00067EEA"/>
    <w:rsid w:val="00070113"/>
    <w:rsid w:val="00070153"/>
    <w:rsid w:val="00070518"/>
    <w:rsid w:val="00070AF9"/>
    <w:rsid w:val="00070E18"/>
    <w:rsid w:val="00071341"/>
    <w:rsid w:val="000716BC"/>
    <w:rsid w:val="000716F4"/>
    <w:rsid w:val="00071D95"/>
    <w:rsid w:val="000726BC"/>
    <w:rsid w:val="000727BA"/>
    <w:rsid w:val="00072B83"/>
    <w:rsid w:val="000737D3"/>
    <w:rsid w:val="00075513"/>
    <w:rsid w:val="000758FE"/>
    <w:rsid w:val="00076091"/>
    <w:rsid w:val="000763E0"/>
    <w:rsid w:val="00076880"/>
    <w:rsid w:val="000777A9"/>
    <w:rsid w:val="00077C5F"/>
    <w:rsid w:val="00080DDC"/>
    <w:rsid w:val="0008111C"/>
    <w:rsid w:val="0008126E"/>
    <w:rsid w:val="00082265"/>
    <w:rsid w:val="000828C6"/>
    <w:rsid w:val="00083FC4"/>
    <w:rsid w:val="000843B3"/>
    <w:rsid w:val="00084591"/>
    <w:rsid w:val="00084A4D"/>
    <w:rsid w:val="000858A9"/>
    <w:rsid w:val="000860B6"/>
    <w:rsid w:val="00086A31"/>
    <w:rsid w:val="00086C6E"/>
    <w:rsid w:val="00087700"/>
    <w:rsid w:val="00087E1A"/>
    <w:rsid w:val="000903FA"/>
    <w:rsid w:val="000904F3"/>
    <w:rsid w:val="00090583"/>
    <w:rsid w:val="00090A99"/>
    <w:rsid w:val="000911FE"/>
    <w:rsid w:val="00091723"/>
    <w:rsid w:val="0009195D"/>
    <w:rsid w:val="00091CBC"/>
    <w:rsid w:val="00092F67"/>
    <w:rsid w:val="00093410"/>
    <w:rsid w:val="00093686"/>
    <w:rsid w:val="00093BF7"/>
    <w:rsid w:val="0009486D"/>
    <w:rsid w:val="00094D25"/>
    <w:rsid w:val="00095191"/>
    <w:rsid w:val="00096566"/>
    <w:rsid w:val="00096876"/>
    <w:rsid w:val="0009761E"/>
    <w:rsid w:val="00097A17"/>
    <w:rsid w:val="00097C81"/>
    <w:rsid w:val="00097E91"/>
    <w:rsid w:val="000A0FC4"/>
    <w:rsid w:val="000A1955"/>
    <w:rsid w:val="000A2694"/>
    <w:rsid w:val="000A2A46"/>
    <w:rsid w:val="000A368E"/>
    <w:rsid w:val="000A3B1A"/>
    <w:rsid w:val="000A46E0"/>
    <w:rsid w:val="000A4B61"/>
    <w:rsid w:val="000A4C10"/>
    <w:rsid w:val="000A57BC"/>
    <w:rsid w:val="000A6BBC"/>
    <w:rsid w:val="000A7D27"/>
    <w:rsid w:val="000A7F37"/>
    <w:rsid w:val="000B0694"/>
    <w:rsid w:val="000B0B09"/>
    <w:rsid w:val="000B0C1C"/>
    <w:rsid w:val="000B0E46"/>
    <w:rsid w:val="000B0EBE"/>
    <w:rsid w:val="000B13A1"/>
    <w:rsid w:val="000B22F6"/>
    <w:rsid w:val="000B2460"/>
    <w:rsid w:val="000B246B"/>
    <w:rsid w:val="000B267A"/>
    <w:rsid w:val="000B2B3A"/>
    <w:rsid w:val="000B3C33"/>
    <w:rsid w:val="000B3E00"/>
    <w:rsid w:val="000B40F9"/>
    <w:rsid w:val="000B6997"/>
    <w:rsid w:val="000B6A14"/>
    <w:rsid w:val="000B70E1"/>
    <w:rsid w:val="000B73C4"/>
    <w:rsid w:val="000C0127"/>
    <w:rsid w:val="000C0413"/>
    <w:rsid w:val="000C05C6"/>
    <w:rsid w:val="000C0A34"/>
    <w:rsid w:val="000C2455"/>
    <w:rsid w:val="000C24B5"/>
    <w:rsid w:val="000C30A6"/>
    <w:rsid w:val="000C40CD"/>
    <w:rsid w:val="000C49A6"/>
    <w:rsid w:val="000C4A6C"/>
    <w:rsid w:val="000C5A1A"/>
    <w:rsid w:val="000C5EA7"/>
    <w:rsid w:val="000C6938"/>
    <w:rsid w:val="000C7632"/>
    <w:rsid w:val="000C78D9"/>
    <w:rsid w:val="000C7EAA"/>
    <w:rsid w:val="000D04B6"/>
    <w:rsid w:val="000D0826"/>
    <w:rsid w:val="000D0A23"/>
    <w:rsid w:val="000D129C"/>
    <w:rsid w:val="000D194E"/>
    <w:rsid w:val="000D1FBE"/>
    <w:rsid w:val="000D220D"/>
    <w:rsid w:val="000D248B"/>
    <w:rsid w:val="000D3222"/>
    <w:rsid w:val="000D3CBC"/>
    <w:rsid w:val="000D4352"/>
    <w:rsid w:val="000D4B80"/>
    <w:rsid w:val="000D5292"/>
    <w:rsid w:val="000D5958"/>
    <w:rsid w:val="000D5D6E"/>
    <w:rsid w:val="000D67C6"/>
    <w:rsid w:val="000D6B9B"/>
    <w:rsid w:val="000D7D74"/>
    <w:rsid w:val="000E093A"/>
    <w:rsid w:val="000E1439"/>
    <w:rsid w:val="000E1572"/>
    <w:rsid w:val="000E197A"/>
    <w:rsid w:val="000E2774"/>
    <w:rsid w:val="000E29C9"/>
    <w:rsid w:val="000E3F99"/>
    <w:rsid w:val="000E40DD"/>
    <w:rsid w:val="000E4236"/>
    <w:rsid w:val="000E6835"/>
    <w:rsid w:val="000E77F4"/>
    <w:rsid w:val="000E7971"/>
    <w:rsid w:val="000E7BA8"/>
    <w:rsid w:val="000E7F08"/>
    <w:rsid w:val="000F0D99"/>
    <w:rsid w:val="000F11B2"/>
    <w:rsid w:val="000F13F9"/>
    <w:rsid w:val="000F1AF3"/>
    <w:rsid w:val="000F1CEA"/>
    <w:rsid w:val="000F2DB6"/>
    <w:rsid w:val="000F2EC8"/>
    <w:rsid w:val="000F2F09"/>
    <w:rsid w:val="000F3293"/>
    <w:rsid w:val="000F33AF"/>
    <w:rsid w:val="000F46D5"/>
    <w:rsid w:val="000F4702"/>
    <w:rsid w:val="000F63AD"/>
    <w:rsid w:val="000F6A80"/>
    <w:rsid w:val="000F6B25"/>
    <w:rsid w:val="000F6C69"/>
    <w:rsid w:val="000F7045"/>
    <w:rsid w:val="000F70EC"/>
    <w:rsid w:val="0010177C"/>
    <w:rsid w:val="001019A4"/>
    <w:rsid w:val="00102C6F"/>
    <w:rsid w:val="00104370"/>
    <w:rsid w:val="0010455D"/>
    <w:rsid w:val="00104A65"/>
    <w:rsid w:val="0010559F"/>
    <w:rsid w:val="00105A75"/>
    <w:rsid w:val="00105D77"/>
    <w:rsid w:val="0010605A"/>
    <w:rsid w:val="00106FC5"/>
    <w:rsid w:val="001102E5"/>
    <w:rsid w:val="00110BD3"/>
    <w:rsid w:val="00110F40"/>
    <w:rsid w:val="00111E43"/>
    <w:rsid w:val="00113E45"/>
    <w:rsid w:val="00113EA5"/>
    <w:rsid w:val="00114B5B"/>
    <w:rsid w:val="001151C1"/>
    <w:rsid w:val="0011539B"/>
    <w:rsid w:val="00115685"/>
    <w:rsid w:val="00116018"/>
    <w:rsid w:val="0011632F"/>
    <w:rsid w:val="0012049B"/>
    <w:rsid w:val="001207D5"/>
    <w:rsid w:val="00121008"/>
    <w:rsid w:val="001219C2"/>
    <w:rsid w:val="00121BFD"/>
    <w:rsid w:val="0012355E"/>
    <w:rsid w:val="001235ED"/>
    <w:rsid w:val="00123864"/>
    <w:rsid w:val="00123D2B"/>
    <w:rsid w:val="00123D62"/>
    <w:rsid w:val="00124A44"/>
    <w:rsid w:val="00124B85"/>
    <w:rsid w:val="001250CC"/>
    <w:rsid w:val="00125707"/>
    <w:rsid w:val="00125A87"/>
    <w:rsid w:val="00125D44"/>
    <w:rsid w:val="00125DEE"/>
    <w:rsid w:val="00125E37"/>
    <w:rsid w:val="00126395"/>
    <w:rsid w:val="0012643A"/>
    <w:rsid w:val="001273B5"/>
    <w:rsid w:val="00127986"/>
    <w:rsid w:val="00127FEA"/>
    <w:rsid w:val="00130586"/>
    <w:rsid w:val="00130EEF"/>
    <w:rsid w:val="001323BF"/>
    <w:rsid w:val="001324CA"/>
    <w:rsid w:val="00132778"/>
    <w:rsid w:val="00132867"/>
    <w:rsid w:val="00132D80"/>
    <w:rsid w:val="00133107"/>
    <w:rsid w:val="001331F5"/>
    <w:rsid w:val="00133396"/>
    <w:rsid w:val="00133AC1"/>
    <w:rsid w:val="00136316"/>
    <w:rsid w:val="0013647F"/>
    <w:rsid w:val="00137AC5"/>
    <w:rsid w:val="00137C27"/>
    <w:rsid w:val="00137C79"/>
    <w:rsid w:val="00137FD6"/>
    <w:rsid w:val="001402DB"/>
    <w:rsid w:val="00140571"/>
    <w:rsid w:val="001409D9"/>
    <w:rsid w:val="00140F6E"/>
    <w:rsid w:val="00141CAA"/>
    <w:rsid w:val="00141DD1"/>
    <w:rsid w:val="0014209A"/>
    <w:rsid w:val="0014210E"/>
    <w:rsid w:val="00142631"/>
    <w:rsid w:val="00142917"/>
    <w:rsid w:val="001432EE"/>
    <w:rsid w:val="00144F03"/>
    <w:rsid w:val="001452FC"/>
    <w:rsid w:val="0014657C"/>
    <w:rsid w:val="00146C6B"/>
    <w:rsid w:val="00146D50"/>
    <w:rsid w:val="001474E0"/>
    <w:rsid w:val="0014751F"/>
    <w:rsid w:val="0015008C"/>
    <w:rsid w:val="0015014F"/>
    <w:rsid w:val="00151071"/>
    <w:rsid w:val="00151B44"/>
    <w:rsid w:val="00151D8A"/>
    <w:rsid w:val="0015288B"/>
    <w:rsid w:val="00152B33"/>
    <w:rsid w:val="00152F87"/>
    <w:rsid w:val="00153BEC"/>
    <w:rsid w:val="001541DD"/>
    <w:rsid w:val="00154859"/>
    <w:rsid w:val="001550FA"/>
    <w:rsid w:val="00155114"/>
    <w:rsid w:val="0015618D"/>
    <w:rsid w:val="00156555"/>
    <w:rsid w:val="001570C4"/>
    <w:rsid w:val="00157883"/>
    <w:rsid w:val="00157B19"/>
    <w:rsid w:val="001602A5"/>
    <w:rsid w:val="001605C3"/>
    <w:rsid w:val="0016072E"/>
    <w:rsid w:val="00160C30"/>
    <w:rsid w:val="00161C96"/>
    <w:rsid w:val="0016282F"/>
    <w:rsid w:val="001628A5"/>
    <w:rsid w:val="001628F4"/>
    <w:rsid w:val="00162CCF"/>
    <w:rsid w:val="00162E47"/>
    <w:rsid w:val="00163933"/>
    <w:rsid w:val="00163DBA"/>
    <w:rsid w:val="001644B8"/>
    <w:rsid w:val="00164970"/>
    <w:rsid w:val="00164B62"/>
    <w:rsid w:val="00167602"/>
    <w:rsid w:val="00167619"/>
    <w:rsid w:val="00167698"/>
    <w:rsid w:val="00167E59"/>
    <w:rsid w:val="001721BD"/>
    <w:rsid w:val="001734AB"/>
    <w:rsid w:val="0017374F"/>
    <w:rsid w:val="0017440D"/>
    <w:rsid w:val="00174DF3"/>
    <w:rsid w:val="00175957"/>
    <w:rsid w:val="001762E4"/>
    <w:rsid w:val="00176495"/>
    <w:rsid w:val="00176BFB"/>
    <w:rsid w:val="001771A4"/>
    <w:rsid w:val="00181010"/>
    <w:rsid w:val="00181174"/>
    <w:rsid w:val="00181888"/>
    <w:rsid w:val="00181AC7"/>
    <w:rsid w:val="001822DF"/>
    <w:rsid w:val="00182DC9"/>
    <w:rsid w:val="00183B7A"/>
    <w:rsid w:val="00184045"/>
    <w:rsid w:val="001840A5"/>
    <w:rsid w:val="001843F9"/>
    <w:rsid w:val="00184605"/>
    <w:rsid w:val="00184E8A"/>
    <w:rsid w:val="00185249"/>
    <w:rsid w:val="0018533B"/>
    <w:rsid w:val="001854F6"/>
    <w:rsid w:val="00185877"/>
    <w:rsid w:val="00185A19"/>
    <w:rsid w:val="00185FA8"/>
    <w:rsid w:val="00186A15"/>
    <w:rsid w:val="00186E10"/>
    <w:rsid w:val="00187309"/>
    <w:rsid w:val="00187348"/>
    <w:rsid w:val="00187488"/>
    <w:rsid w:val="0019088A"/>
    <w:rsid w:val="00190FA3"/>
    <w:rsid w:val="001919E9"/>
    <w:rsid w:val="001924F4"/>
    <w:rsid w:val="00192744"/>
    <w:rsid w:val="00192A34"/>
    <w:rsid w:val="0019394E"/>
    <w:rsid w:val="001943AB"/>
    <w:rsid w:val="00194C8A"/>
    <w:rsid w:val="00195066"/>
    <w:rsid w:val="001959EF"/>
    <w:rsid w:val="00195AF0"/>
    <w:rsid w:val="00195FDC"/>
    <w:rsid w:val="0019727D"/>
    <w:rsid w:val="00197C28"/>
    <w:rsid w:val="001A0143"/>
    <w:rsid w:val="001A0FAB"/>
    <w:rsid w:val="001A1F85"/>
    <w:rsid w:val="001A2115"/>
    <w:rsid w:val="001A217F"/>
    <w:rsid w:val="001A370B"/>
    <w:rsid w:val="001A3921"/>
    <w:rsid w:val="001A3980"/>
    <w:rsid w:val="001A40DB"/>
    <w:rsid w:val="001A44B3"/>
    <w:rsid w:val="001A523B"/>
    <w:rsid w:val="001A531E"/>
    <w:rsid w:val="001A55C6"/>
    <w:rsid w:val="001A627D"/>
    <w:rsid w:val="001A66F0"/>
    <w:rsid w:val="001A741B"/>
    <w:rsid w:val="001A7684"/>
    <w:rsid w:val="001A7742"/>
    <w:rsid w:val="001B023A"/>
    <w:rsid w:val="001B0E26"/>
    <w:rsid w:val="001B0EFA"/>
    <w:rsid w:val="001B140A"/>
    <w:rsid w:val="001B1531"/>
    <w:rsid w:val="001B17E6"/>
    <w:rsid w:val="001B1F77"/>
    <w:rsid w:val="001B1FAD"/>
    <w:rsid w:val="001B21AE"/>
    <w:rsid w:val="001B3FF2"/>
    <w:rsid w:val="001B43BD"/>
    <w:rsid w:val="001B44EE"/>
    <w:rsid w:val="001B4C43"/>
    <w:rsid w:val="001B4EA5"/>
    <w:rsid w:val="001B5499"/>
    <w:rsid w:val="001B5725"/>
    <w:rsid w:val="001B6114"/>
    <w:rsid w:val="001B6D4D"/>
    <w:rsid w:val="001B717F"/>
    <w:rsid w:val="001B74B4"/>
    <w:rsid w:val="001B7D0F"/>
    <w:rsid w:val="001B7F1A"/>
    <w:rsid w:val="001C1392"/>
    <w:rsid w:val="001C1571"/>
    <w:rsid w:val="001C195B"/>
    <w:rsid w:val="001C24B0"/>
    <w:rsid w:val="001C2A41"/>
    <w:rsid w:val="001C2BA5"/>
    <w:rsid w:val="001C3443"/>
    <w:rsid w:val="001C36B0"/>
    <w:rsid w:val="001C3D30"/>
    <w:rsid w:val="001C3FF5"/>
    <w:rsid w:val="001C457C"/>
    <w:rsid w:val="001C5557"/>
    <w:rsid w:val="001C5CA8"/>
    <w:rsid w:val="001C6166"/>
    <w:rsid w:val="001C628E"/>
    <w:rsid w:val="001C6416"/>
    <w:rsid w:val="001C642A"/>
    <w:rsid w:val="001C743D"/>
    <w:rsid w:val="001C7897"/>
    <w:rsid w:val="001C79CB"/>
    <w:rsid w:val="001C7AB7"/>
    <w:rsid w:val="001C7BB4"/>
    <w:rsid w:val="001C7F2A"/>
    <w:rsid w:val="001D0538"/>
    <w:rsid w:val="001D111F"/>
    <w:rsid w:val="001D1D37"/>
    <w:rsid w:val="001D1F64"/>
    <w:rsid w:val="001D2FE6"/>
    <w:rsid w:val="001D3409"/>
    <w:rsid w:val="001D35F9"/>
    <w:rsid w:val="001D3CE7"/>
    <w:rsid w:val="001D4848"/>
    <w:rsid w:val="001D4B9D"/>
    <w:rsid w:val="001D5403"/>
    <w:rsid w:val="001D54D3"/>
    <w:rsid w:val="001D5FA4"/>
    <w:rsid w:val="001D6D7C"/>
    <w:rsid w:val="001D7382"/>
    <w:rsid w:val="001E01BA"/>
    <w:rsid w:val="001E0C80"/>
    <w:rsid w:val="001E332C"/>
    <w:rsid w:val="001E38FD"/>
    <w:rsid w:val="001E3986"/>
    <w:rsid w:val="001E39E5"/>
    <w:rsid w:val="001E3A3B"/>
    <w:rsid w:val="001E3EF1"/>
    <w:rsid w:val="001E5A75"/>
    <w:rsid w:val="001E6127"/>
    <w:rsid w:val="001E6B9D"/>
    <w:rsid w:val="001E71B5"/>
    <w:rsid w:val="001E71D0"/>
    <w:rsid w:val="001E7AE4"/>
    <w:rsid w:val="001E7EA7"/>
    <w:rsid w:val="001F0111"/>
    <w:rsid w:val="001F0D60"/>
    <w:rsid w:val="001F12DE"/>
    <w:rsid w:val="001F1711"/>
    <w:rsid w:val="001F1B80"/>
    <w:rsid w:val="001F2389"/>
    <w:rsid w:val="001F2830"/>
    <w:rsid w:val="001F2920"/>
    <w:rsid w:val="001F3145"/>
    <w:rsid w:val="001F3BBE"/>
    <w:rsid w:val="001F3D6A"/>
    <w:rsid w:val="001F4225"/>
    <w:rsid w:val="001F4660"/>
    <w:rsid w:val="001F5AC3"/>
    <w:rsid w:val="001F60B8"/>
    <w:rsid w:val="001F6487"/>
    <w:rsid w:val="001F73EA"/>
    <w:rsid w:val="00200D6E"/>
    <w:rsid w:val="00200E8E"/>
    <w:rsid w:val="00201704"/>
    <w:rsid w:val="00201A47"/>
    <w:rsid w:val="00201F3E"/>
    <w:rsid w:val="00202198"/>
    <w:rsid w:val="00202742"/>
    <w:rsid w:val="0020282E"/>
    <w:rsid w:val="002032C6"/>
    <w:rsid w:val="002043A0"/>
    <w:rsid w:val="0020473B"/>
    <w:rsid w:val="00206687"/>
    <w:rsid w:val="00206D7E"/>
    <w:rsid w:val="00207498"/>
    <w:rsid w:val="00210EEA"/>
    <w:rsid w:val="00211293"/>
    <w:rsid w:val="00211C2A"/>
    <w:rsid w:val="002120E7"/>
    <w:rsid w:val="00213102"/>
    <w:rsid w:val="0021389C"/>
    <w:rsid w:val="00213DC3"/>
    <w:rsid w:val="00213E0E"/>
    <w:rsid w:val="00214FDA"/>
    <w:rsid w:val="002154E5"/>
    <w:rsid w:val="00215548"/>
    <w:rsid w:val="00215CD7"/>
    <w:rsid w:val="00216C08"/>
    <w:rsid w:val="00216D67"/>
    <w:rsid w:val="0021767A"/>
    <w:rsid w:val="00220201"/>
    <w:rsid w:val="00220265"/>
    <w:rsid w:val="002205D6"/>
    <w:rsid w:val="00220B85"/>
    <w:rsid w:val="00221103"/>
    <w:rsid w:val="00221C2F"/>
    <w:rsid w:val="00222596"/>
    <w:rsid w:val="00222984"/>
    <w:rsid w:val="002229FF"/>
    <w:rsid w:val="00222AC6"/>
    <w:rsid w:val="00222CD3"/>
    <w:rsid w:val="0022311E"/>
    <w:rsid w:val="0022315F"/>
    <w:rsid w:val="002235EC"/>
    <w:rsid w:val="00224016"/>
    <w:rsid w:val="00224828"/>
    <w:rsid w:val="002249DB"/>
    <w:rsid w:val="00224FE5"/>
    <w:rsid w:val="0022597E"/>
    <w:rsid w:val="00225D42"/>
    <w:rsid w:val="00225E7E"/>
    <w:rsid w:val="00226298"/>
    <w:rsid w:val="0023003C"/>
    <w:rsid w:val="002300C6"/>
    <w:rsid w:val="002301C6"/>
    <w:rsid w:val="00230536"/>
    <w:rsid w:val="002305D2"/>
    <w:rsid w:val="00230DA8"/>
    <w:rsid w:val="00232217"/>
    <w:rsid w:val="00232702"/>
    <w:rsid w:val="0023276A"/>
    <w:rsid w:val="002327CE"/>
    <w:rsid w:val="00232921"/>
    <w:rsid w:val="00232E21"/>
    <w:rsid w:val="00233577"/>
    <w:rsid w:val="002339F2"/>
    <w:rsid w:val="00234499"/>
    <w:rsid w:val="0023488F"/>
    <w:rsid w:val="00234E7D"/>
    <w:rsid w:val="0023524A"/>
    <w:rsid w:val="0023571F"/>
    <w:rsid w:val="002357EA"/>
    <w:rsid w:val="00235897"/>
    <w:rsid w:val="002367E6"/>
    <w:rsid w:val="002368EB"/>
    <w:rsid w:val="00236E33"/>
    <w:rsid w:val="0023700C"/>
    <w:rsid w:val="00237276"/>
    <w:rsid w:val="0023738B"/>
    <w:rsid w:val="0023769E"/>
    <w:rsid w:val="002376B2"/>
    <w:rsid w:val="002409C1"/>
    <w:rsid w:val="00240B06"/>
    <w:rsid w:val="00241190"/>
    <w:rsid w:val="00241845"/>
    <w:rsid w:val="00242134"/>
    <w:rsid w:val="002423CA"/>
    <w:rsid w:val="0024244E"/>
    <w:rsid w:val="0024258C"/>
    <w:rsid w:val="002446F1"/>
    <w:rsid w:val="00244A93"/>
    <w:rsid w:val="00244AB0"/>
    <w:rsid w:val="00244B6A"/>
    <w:rsid w:val="00244C69"/>
    <w:rsid w:val="002450B6"/>
    <w:rsid w:val="002451F4"/>
    <w:rsid w:val="00245325"/>
    <w:rsid w:val="00245E37"/>
    <w:rsid w:val="00246BCA"/>
    <w:rsid w:val="00246F65"/>
    <w:rsid w:val="00247193"/>
    <w:rsid w:val="00250176"/>
    <w:rsid w:val="002501F3"/>
    <w:rsid w:val="002506A3"/>
    <w:rsid w:val="00251CF4"/>
    <w:rsid w:val="00251F24"/>
    <w:rsid w:val="00252454"/>
    <w:rsid w:val="002524DB"/>
    <w:rsid w:val="0025267A"/>
    <w:rsid w:val="0025290C"/>
    <w:rsid w:val="00253022"/>
    <w:rsid w:val="002530E8"/>
    <w:rsid w:val="00253601"/>
    <w:rsid w:val="002539C4"/>
    <w:rsid w:val="002540B2"/>
    <w:rsid w:val="002547C1"/>
    <w:rsid w:val="00254DF6"/>
    <w:rsid w:val="00255BA9"/>
    <w:rsid w:val="00255E7F"/>
    <w:rsid w:val="0025607F"/>
    <w:rsid w:val="002562F9"/>
    <w:rsid w:val="0025647D"/>
    <w:rsid w:val="002571D6"/>
    <w:rsid w:val="00257485"/>
    <w:rsid w:val="00257618"/>
    <w:rsid w:val="00257676"/>
    <w:rsid w:val="00257BF5"/>
    <w:rsid w:val="00257FBC"/>
    <w:rsid w:val="00260AA2"/>
    <w:rsid w:val="002618F4"/>
    <w:rsid w:val="00261B63"/>
    <w:rsid w:val="002625C0"/>
    <w:rsid w:val="00262B22"/>
    <w:rsid w:val="00262B48"/>
    <w:rsid w:val="00262C1B"/>
    <w:rsid w:val="00262D78"/>
    <w:rsid w:val="002630FB"/>
    <w:rsid w:val="0026352F"/>
    <w:rsid w:val="00263D3A"/>
    <w:rsid w:val="002647D2"/>
    <w:rsid w:val="0026485D"/>
    <w:rsid w:val="002648B0"/>
    <w:rsid w:val="00264C8C"/>
    <w:rsid w:val="0026589B"/>
    <w:rsid w:val="00265F02"/>
    <w:rsid w:val="0026634C"/>
    <w:rsid w:val="002664C7"/>
    <w:rsid w:val="002665A0"/>
    <w:rsid w:val="002669F8"/>
    <w:rsid w:val="002678CE"/>
    <w:rsid w:val="00267A21"/>
    <w:rsid w:val="00267C6F"/>
    <w:rsid w:val="0027034D"/>
    <w:rsid w:val="00271C8B"/>
    <w:rsid w:val="00271DB1"/>
    <w:rsid w:val="00272F65"/>
    <w:rsid w:val="00273432"/>
    <w:rsid w:val="002735FE"/>
    <w:rsid w:val="00273DC0"/>
    <w:rsid w:val="002749C1"/>
    <w:rsid w:val="002754C0"/>
    <w:rsid w:val="00275A48"/>
    <w:rsid w:val="002764F3"/>
    <w:rsid w:val="00276720"/>
    <w:rsid w:val="00276B41"/>
    <w:rsid w:val="00277058"/>
    <w:rsid w:val="002771C5"/>
    <w:rsid w:val="002805FD"/>
    <w:rsid w:val="0028072E"/>
    <w:rsid w:val="00280B99"/>
    <w:rsid w:val="00281433"/>
    <w:rsid w:val="00281598"/>
    <w:rsid w:val="002816EA"/>
    <w:rsid w:val="00283B5F"/>
    <w:rsid w:val="00283C5E"/>
    <w:rsid w:val="00284A6D"/>
    <w:rsid w:val="0028519C"/>
    <w:rsid w:val="00285314"/>
    <w:rsid w:val="00285E2F"/>
    <w:rsid w:val="0028628A"/>
    <w:rsid w:val="0028689C"/>
    <w:rsid w:val="002871CE"/>
    <w:rsid w:val="00287B41"/>
    <w:rsid w:val="00290CAD"/>
    <w:rsid w:val="002917CA"/>
    <w:rsid w:val="002920FF"/>
    <w:rsid w:val="00292409"/>
    <w:rsid w:val="00292A20"/>
    <w:rsid w:val="00292CEA"/>
    <w:rsid w:val="00294B07"/>
    <w:rsid w:val="00294E34"/>
    <w:rsid w:val="00294FBC"/>
    <w:rsid w:val="0029520F"/>
    <w:rsid w:val="00295225"/>
    <w:rsid w:val="0029626C"/>
    <w:rsid w:val="0029630E"/>
    <w:rsid w:val="00297074"/>
    <w:rsid w:val="0029716F"/>
    <w:rsid w:val="0029726F"/>
    <w:rsid w:val="0029748B"/>
    <w:rsid w:val="002A04D3"/>
    <w:rsid w:val="002A0818"/>
    <w:rsid w:val="002A09D5"/>
    <w:rsid w:val="002A1099"/>
    <w:rsid w:val="002A1B49"/>
    <w:rsid w:val="002A2426"/>
    <w:rsid w:val="002A36BB"/>
    <w:rsid w:val="002A49C0"/>
    <w:rsid w:val="002A4B85"/>
    <w:rsid w:val="002A5122"/>
    <w:rsid w:val="002A5969"/>
    <w:rsid w:val="002A5BC5"/>
    <w:rsid w:val="002A630C"/>
    <w:rsid w:val="002A677E"/>
    <w:rsid w:val="002A67C8"/>
    <w:rsid w:val="002A6913"/>
    <w:rsid w:val="002A7564"/>
    <w:rsid w:val="002A7C84"/>
    <w:rsid w:val="002B004B"/>
    <w:rsid w:val="002B06D6"/>
    <w:rsid w:val="002B15B5"/>
    <w:rsid w:val="002B1600"/>
    <w:rsid w:val="002B1CA9"/>
    <w:rsid w:val="002B1D0E"/>
    <w:rsid w:val="002B2328"/>
    <w:rsid w:val="002B2BA3"/>
    <w:rsid w:val="002B32BE"/>
    <w:rsid w:val="002B3E36"/>
    <w:rsid w:val="002B4667"/>
    <w:rsid w:val="002B5403"/>
    <w:rsid w:val="002B5492"/>
    <w:rsid w:val="002B5B2F"/>
    <w:rsid w:val="002B5B50"/>
    <w:rsid w:val="002B5CD1"/>
    <w:rsid w:val="002B5F2D"/>
    <w:rsid w:val="002B66BD"/>
    <w:rsid w:val="002B6E63"/>
    <w:rsid w:val="002B7AB7"/>
    <w:rsid w:val="002C0206"/>
    <w:rsid w:val="002C053E"/>
    <w:rsid w:val="002C06FD"/>
    <w:rsid w:val="002C1068"/>
    <w:rsid w:val="002C1251"/>
    <w:rsid w:val="002C1D9D"/>
    <w:rsid w:val="002C1FEC"/>
    <w:rsid w:val="002C37D9"/>
    <w:rsid w:val="002C3E3E"/>
    <w:rsid w:val="002C41F1"/>
    <w:rsid w:val="002C42D3"/>
    <w:rsid w:val="002C4D74"/>
    <w:rsid w:val="002C5671"/>
    <w:rsid w:val="002C6263"/>
    <w:rsid w:val="002C66A4"/>
    <w:rsid w:val="002C674A"/>
    <w:rsid w:val="002D0CE5"/>
    <w:rsid w:val="002D2C75"/>
    <w:rsid w:val="002D3156"/>
    <w:rsid w:val="002D318D"/>
    <w:rsid w:val="002D31E5"/>
    <w:rsid w:val="002D3982"/>
    <w:rsid w:val="002D4561"/>
    <w:rsid w:val="002D4E10"/>
    <w:rsid w:val="002D4F6A"/>
    <w:rsid w:val="002D6B9E"/>
    <w:rsid w:val="002D7779"/>
    <w:rsid w:val="002E0148"/>
    <w:rsid w:val="002E0174"/>
    <w:rsid w:val="002E053A"/>
    <w:rsid w:val="002E0DDB"/>
    <w:rsid w:val="002E12E6"/>
    <w:rsid w:val="002E136A"/>
    <w:rsid w:val="002E2061"/>
    <w:rsid w:val="002E2164"/>
    <w:rsid w:val="002E27B0"/>
    <w:rsid w:val="002E3720"/>
    <w:rsid w:val="002E4D53"/>
    <w:rsid w:val="002E4EB7"/>
    <w:rsid w:val="002E5096"/>
    <w:rsid w:val="002E55BD"/>
    <w:rsid w:val="002E5879"/>
    <w:rsid w:val="002E587F"/>
    <w:rsid w:val="002E58AF"/>
    <w:rsid w:val="002E5A56"/>
    <w:rsid w:val="002E7287"/>
    <w:rsid w:val="002E796C"/>
    <w:rsid w:val="002E7BB4"/>
    <w:rsid w:val="002F07EA"/>
    <w:rsid w:val="002F0FB3"/>
    <w:rsid w:val="002F1163"/>
    <w:rsid w:val="002F11F3"/>
    <w:rsid w:val="002F1624"/>
    <w:rsid w:val="002F170E"/>
    <w:rsid w:val="002F1920"/>
    <w:rsid w:val="002F19BB"/>
    <w:rsid w:val="002F1E8D"/>
    <w:rsid w:val="002F2663"/>
    <w:rsid w:val="002F29AF"/>
    <w:rsid w:val="002F2FCE"/>
    <w:rsid w:val="002F39A7"/>
    <w:rsid w:val="002F4A67"/>
    <w:rsid w:val="002F4A87"/>
    <w:rsid w:val="002F5571"/>
    <w:rsid w:val="002F55FA"/>
    <w:rsid w:val="002F6AA8"/>
    <w:rsid w:val="002F78EA"/>
    <w:rsid w:val="002F79EA"/>
    <w:rsid w:val="002F7E28"/>
    <w:rsid w:val="00300224"/>
    <w:rsid w:val="00302C3F"/>
    <w:rsid w:val="00303974"/>
    <w:rsid w:val="00303EDA"/>
    <w:rsid w:val="00304CA5"/>
    <w:rsid w:val="0030572F"/>
    <w:rsid w:val="00306163"/>
    <w:rsid w:val="00306AD1"/>
    <w:rsid w:val="00306F71"/>
    <w:rsid w:val="00306F8E"/>
    <w:rsid w:val="003073B2"/>
    <w:rsid w:val="00307737"/>
    <w:rsid w:val="0031001C"/>
    <w:rsid w:val="003105C6"/>
    <w:rsid w:val="00310F05"/>
    <w:rsid w:val="00310F96"/>
    <w:rsid w:val="00311119"/>
    <w:rsid w:val="00311B2D"/>
    <w:rsid w:val="00312BA3"/>
    <w:rsid w:val="00313274"/>
    <w:rsid w:val="003132E6"/>
    <w:rsid w:val="00313359"/>
    <w:rsid w:val="003137B9"/>
    <w:rsid w:val="00313D20"/>
    <w:rsid w:val="003141F6"/>
    <w:rsid w:val="003150E6"/>
    <w:rsid w:val="00315835"/>
    <w:rsid w:val="003172C8"/>
    <w:rsid w:val="003175FE"/>
    <w:rsid w:val="00320974"/>
    <w:rsid w:val="00320BB4"/>
    <w:rsid w:val="00320DC6"/>
    <w:rsid w:val="00321526"/>
    <w:rsid w:val="00321A3B"/>
    <w:rsid w:val="00321E5F"/>
    <w:rsid w:val="003220BD"/>
    <w:rsid w:val="003228D5"/>
    <w:rsid w:val="003232D5"/>
    <w:rsid w:val="00324D71"/>
    <w:rsid w:val="00325654"/>
    <w:rsid w:val="003259DA"/>
    <w:rsid w:val="0032601D"/>
    <w:rsid w:val="0032635E"/>
    <w:rsid w:val="00326A21"/>
    <w:rsid w:val="00326BF5"/>
    <w:rsid w:val="0032755B"/>
    <w:rsid w:val="003277BF"/>
    <w:rsid w:val="003300FF"/>
    <w:rsid w:val="00330199"/>
    <w:rsid w:val="003303D9"/>
    <w:rsid w:val="00330896"/>
    <w:rsid w:val="00330AE5"/>
    <w:rsid w:val="00331FE6"/>
    <w:rsid w:val="0033399F"/>
    <w:rsid w:val="00333A44"/>
    <w:rsid w:val="00333AB1"/>
    <w:rsid w:val="00334093"/>
    <w:rsid w:val="00334179"/>
    <w:rsid w:val="0033476C"/>
    <w:rsid w:val="00335A1B"/>
    <w:rsid w:val="003374C1"/>
    <w:rsid w:val="003377B9"/>
    <w:rsid w:val="00337849"/>
    <w:rsid w:val="00337BEA"/>
    <w:rsid w:val="00340094"/>
    <w:rsid w:val="003400BB"/>
    <w:rsid w:val="00342261"/>
    <w:rsid w:val="00342B6A"/>
    <w:rsid w:val="00342C4B"/>
    <w:rsid w:val="0034346F"/>
    <w:rsid w:val="003438E8"/>
    <w:rsid w:val="003459F8"/>
    <w:rsid w:val="00345A82"/>
    <w:rsid w:val="00345E53"/>
    <w:rsid w:val="00345F96"/>
    <w:rsid w:val="00346234"/>
    <w:rsid w:val="00346C65"/>
    <w:rsid w:val="00346DCF"/>
    <w:rsid w:val="0034786E"/>
    <w:rsid w:val="00347FF9"/>
    <w:rsid w:val="00350AC4"/>
    <w:rsid w:val="00350DDB"/>
    <w:rsid w:val="00351984"/>
    <w:rsid w:val="00352A45"/>
    <w:rsid w:val="00352C6E"/>
    <w:rsid w:val="00352FB3"/>
    <w:rsid w:val="00353D40"/>
    <w:rsid w:val="0035403D"/>
    <w:rsid w:val="003541BA"/>
    <w:rsid w:val="003556A3"/>
    <w:rsid w:val="00356773"/>
    <w:rsid w:val="00357CD1"/>
    <w:rsid w:val="00357E3F"/>
    <w:rsid w:val="00357F63"/>
    <w:rsid w:val="0036030B"/>
    <w:rsid w:val="00360518"/>
    <w:rsid w:val="00360825"/>
    <w:rsid w:val="00360B05"/>
    <w:rsid w:val="003616A1"/>
    <w:rsid w:val="00361D60"/>
    <w:rsid w:val="00362A09"/>
    <w:rsid w:val="00363505"/>
    <w:rsid w:val="0036394F"/>
    <w:rsid w:val="00363969"/>
    <w:rsid w:val="00364120"/>
    <w:rsid w:val="0036415F"/>
    <w:rsid w:val="00364DA1"/>
    <w:rsid w:val="00364EBB"/>
    <w:rsid w:val="00366794"/>
    <w:rsid w:val="00366CAF"/>
    <w:rsid w:val="00367DCB"/>
    <w:rsid w:val="00370576"/>
    <w:rsid w:val="0037077A"/>
    <w:rsid w:val="00370D79"/>
    <w:rsid w:val="00371593"/>
    <w:rsid w:val="00371653"/>
    <w:rsid w:val="00372C61"/>
    <w:rsid w:val="00373E3E"/>
    <w:rsid w:val="00374A5E"/>
    <w:rsid w:val="003757FD"/>
    <w:rsid w:val="00375C47"/>
    <w:rsid w:val="0038091A"/>
    <w:rsid w:val="00380D47"/>
    <w:rsid w:val="003812AC"/>
    <w:rsid w:val="003813DF"/>
    <w:rsid w:val="0038147E"/>
    <w:rsid w:val="00381685"/>
    <w:rsid w:val="00381F65"/>
    <w:rsid w:val="003826D9"/>
    <w:rsid w:val="00383D4B"/>
    <w:rsid w:val="00383FF2"/>
    <w:rsid w:val="00384177"/>
    <w:rsid w:val="00384770"/>
    <w:rsid w:val="00386492"/>
    <w:rsid w:val="00386C00"/>
    <w:rsid w:val="0038731C"/>
    <w:rsid w:val="00387641"/>
    <w:rsid w:val="00387E40"/>
    <w:rsid w:val="003908C5"/>
    <w:rsid w:val="00390DDA"/>
    <w:rsid w:val="003910C0"/>
    <w:rsid w:val="00391315"/>
    <w:rsid w:val="00391406"/>
    <w:rsid w:val="0039163C"/>
    <w:rsid w:val="00391D92"/>
    <w:rsid w:val="003927BE"/>
    <w:rsid w:val="00392B94"/>
    <w:rsid w:val="00392C11"/>
    <w:rsid w:val="00392FFD"/>
    <w:rsid w:val="0039346B"/>
    <w:rsid w:val="00393539"/>
    <w:rsid w:val="00393FF2"/>
    <w:rsid w:val="00394410"/>
    <w:rsid w:val="00394FF1"/>
    <w:rsid w:val="003953E6"/>
    <w:rsid w:val="00397314"/>
    <w:rsid w:val="003977EC"/>
    <w:rsid w:val="0039782D"/>
    <w:rsid w:val="00397A77"/>
    <w:rsid w:val="003A0347"/>
    <w:rsid w:val="003A0532"/>
    <w:rsid w:val="003A07D6"/>
    <w:rsid w:val="003A0835"/>
    <w:rsid w:val="003A0897"/>
    <w:rsid w:val="003A0C05"/>
    <w:rsid w:val="003A107C"/>
    <w:rsid w:val="003A1469"/>
    <w:rsid w:val="003A1488"/>
    <w:rsid w:val="003A1B96"/>
    <w:rsid w:val="003A200A"/>
    <w:rsid w:val="003A3877"/>
    <w:rsid w:val="003A3899"/>
    <w:rsid w:val="003A415A"/>
    <w:rsid w:val="003A449C"/>
    <w:rsid w:val="003A497B"/>
    <w:rsid w:val="003A4C8B"/>
    <w:rsid w:val="003A4E0E"/>
    <w:rsid w:val="003A5743"/>
    <w:rsid w:val="003A5751"/>
    <w:rsid w:val="003A5D8C"/>
    <w:rsid w:val="003A7214"/>
    <w:rsid w:val="003A7336"/>
    <w:rsid w:val="003B00F4"/>
    <w:rsid w:val="003B05AE"/>
    <w:rsid w:val="003B06B9"/>
    <w:rsid w:val="003B09EA"/>
    <w:rsid w:val="003B0B15"/>
    <w:rsid w:val="003B190F"/>
    <w:rsid w:val="003B20D7"/>
    <w:rsid w:val="003B2129"/>
    <w:rsid w:val="003B219A"/>
    <w:rsid w:val="003B256A"/>
    <w:rsid w:val="003B25F0"/>
    <w:rsid w:val="003B2660"/>
    <w:rsid w:val="003B2712"/>
    <w:rsid w:val="003B2C7F"/>
    <w:rsid w:val="003B3112"/>
    <w:rsid w:val="003B3533"/>
    <w:rsid w:val="003B3D2E"/>
    <w:rsid w:val="003B3DBB"/>
    <w:rsid w:val="003B425E"/>
    <w:rsid w:val="003B43BA"/>
    <w:rsid w:val="003B6094"/>
    <w:rsid w:val="003B6D18"/>
    <w:rsid w:val="003B7060"/>
    <w:rsid w:val="003C050A"/>
    <w:rsid w:val="003C0EE7"/>
    <w:rsid w:val="003C0FB5"/>
    <w:rsid w:val="003C1802"/>
    <w:rsid w:val="003C1BB1"/>
    <w:rsid w:val="003C2409"/>
    <w:rsid w:val="003C2566"/>
    <w:rsid w:val="003C2682"/>
    <w:rsid w:val="003C3168"/>
    <w:rsid w:val="003C3AAB"/>
    <w:rsid w:val="003C3B79"/>
    <w:rsid w:val="003C3FD5"/>
    <w:rsid w:val="003C4214"/>
    <w:rsid w:val="003C4307"/>
    <w:rsid w:val="003C478C"/>
    <w:rsid w:val="003C60B9"/>
    <w:rsid w:val="003C73E7"/>
    <w:rsid w:val="003C76A2"/>
    <w:rsid w:val="003C7853"/>
    <w:rsid w:val="003D07E3"/>
    <w:rsid w:val="003D10E9"/>
    <w:rsid w:val="003D11AD"/>
    <w:rsid w:val="003D14AE"/>
    <w:rsid w:val="003D1657"/>
    <w:rsid w:val="003D17D0"/>
    <w:rsid w:val="003D199D"/>
    <w:rsid w:val="003D234F"/>
    <w:rsid w:val="003D384E"/>
    <w:rsid w:val="003D3A95"/>
    <w:rsid w:val="003D3CED"/>
    <w:rsid w:val="003D3CEF"/>
    <w:rsid w:val="003D4256"/>
    <w:rsid w:val="003D431C"/>
    <w:rsid w:val="003D44D4"/>
    <w:rsid w:val="003D485B"/>
    <w:rsid w:val="003D4EF8"/>
    <w:rsid w:val="003D56DE"/>
    <w:rsid w:val="003D5D52"/>
    <w:rsid w:val="003D6242"/>
    <w:rsid w:val="003D655D"/>
    <w:rsid w:val="003D6641"/>
    <w:rsid w:val="003D69CB"/>
    <w:rsid w:val="003D6FED"/>
    <w:rsid w:val="003D725D"/>
    <w:rsid w:val="003D7822"/>
    <w:rsid w:val="003D7F50"/>
    <w:rsid w:val="003E098F"/>
    <w:rsid w:val="003E1A7B"/>
    <w:rsid w:val="003E3102"/>
    <w:rsid w:val="003E47C5"/>
    <w:rsid w:val="003E4EF2"/>
    <w:rsid w:val="003E5145"/>
    <w:rsid w:val="003E52DA"/>
    <w:rsid w:val="003E5B8C"/>
    <w:rsid w:val="003E71B6"/>
    <w:rsid w:val="003E7891"/>
    <w:rsid w:val="003E7AEC"/>
    <w:rsid w:val="003F0298"/>
    <w:rsid w:val="003F05A0"/>
    <w:rsid w:val="003F1103"/>
    <w:rsid w:val="003F15BB"/>
    <w:rsid w:val="003F17BB"/>
    <w:rsid w:val="003F19BA"/>
    <w:rsid w:val="003F3523"/>
    <w:rsid w:val="003F37AB"/>
    <w:rsid w:val="003F3AF1"/>
    <w:rsid w:val="00401111"/>
    <w:rsid w:val="0040156B"/>
    <w:rsid w:val="00401E48"/>
    <w:rsid w:val="00402284"/>
    <w:rsid w:val="00403B9F"/>
    <w:rsid w:val="0040521E"/>
    <w:rsid w:val="004053CB"/>
    <w:rsid w:val="00405C0A"/>
    <w:rsid w:val="00407110"/>
    <w:rsid w:val="00407505"/>
    <w:rsid w:val="00407936"/>
    <w:rsid w:val="00410701"/>
    <w:rsid w:val="00410796"/>
    <w:rsid w:val="004120DF"/>
    <w:rsid w:val="004127F7"/>
    <w:rsid w:val="004129D0"/>
    <w:rsid w:val="00412B20"/>
    <w:rsid w:val="00412D44"/>
    <w:rsid w:val="004133D9"/>
    <w:rsid w:val="004134E6"/>
    <w:rsid w:val="004157CC"/>
    <w:rsid w:val="00415A1B"/>
    <w:rsid w:val="00417984"/>
    <w:rsid w:val="00422449"/>
    <w:rsid w:val="00422B88"/>
    <w:rsid w:val="00423556"/>
    <w:rsid w:val="00423D6C"/>
    <w:rsid w:val="00423F7E"/>
    <w:rsid w:val="004255D6"/>
    <w:rsid w:val="0042594B"/>
    <w:rsid w:val="00425F4A"/>
    <w:rsid w:val="00425F4C"/>
    <w:rsid w:val="0042766A"/>
    <w:rsid w:val="0043001B"/>
    <w:rsid w:val="00430221"/>
    <w:rsid w:val="004304C0"/>
    <w:rsid w:val="00430F6F"/>
    <w:rsid w:val="00431185"/>
    <w:rsid w:val="0043168D"/>
    <w:rsid w:val="004317F7"/>
    <w:rsid w:val="004319EB"/>
    <w:rsid w:val="0043216B"/>
    <w:rsid w:val="0043231D"/>
    <w:rsid w:val="00433508"/>
    <w:rsid w:val="004343D9"/>
    <w:rsid w:val="004350F2"/>
    <w:rsid w:val="00435476"/>
    <w:rsid w:val="004354F7"/>
    <w:rsid w:val="004357B9"/>
    <w:rsid w:val="00435B81"/>
    <w:rsid w:val="00435E72"/>
    <w:rsid w:val="00436204"/>
    <w:rsid w:val="00436490"/>
    <w:rsid w:val="00436929"/>
    <w:rsid w:val="00436A46"/>
    <w:rsid w:val="00436BBC"/>
    <w:rsid w:val="00437432"/>
    <w:rsid w:val="004377DA"/>
    <w:rsid w:val="004377E2"/>
    <w:rsid w:val="004408E7"/>
    <w:rsid w:val="00440B43"/>
    <w:rsid w:val="004415C8"/>
    <w:rsid w:val="00441F78"/>
    <w:rsid w:val="00442EA5"/>
    <w:rsid w:val="00443003"/>
    <w:rsid w:val="00443DD0"/>
    <w:rsid w:val="004448A6"/>
    <w:rsid w:val="0044539D"/>
    <w:rsid w:val="00445C46"/>
    <w:rsid w:val="00445E06"/>
    <w:rsid w:val="0044639C"/>
    <w:rsid w:val="004504E2"/>
    <w:rsid w:val="0045099E"/>
    <w:rsid w:val="00450A2E"/>
    <w:rsid w:val="00451220"/>
    <w:rsid w:val="0045134E"/>
    <w:rsid w:val="00451B63"/>
    <w:rsid w:val="00452946"/>
    <w:rsid w:val="00452A34"/>
    <w:rsid w:val="00452FEF"/>
    <w:rsid w:val="00453999"/>
    <w:rsid w:val="00454026"/>
    <w:rsid w:val="00454082"/>
    <w:rsid w:val="00454139"/>
    <w:rsid w:val="0045494E"/>
    <w:rsid w:val="00454A3C"/>
    <w:rsid w:val="00454C7A"/>
    <w:rsid w:val="00454CFC"/>
    <w:rsid w:val="00455364"/>
    <w:rsid w:val="00455B49"/>
    <w:rsid w:val="00456366"/>
    <w:rsid w:val="004575F1"/>
    <w:rsid w:val="00457837"/>
    <w:rsid w:val="004600E4"/>
    <w:rsid w:val="004603C7"/>
    <w:rsid w:val="00460458"/>
    <w:rsid w:val="00460A9C"/>
    <w:rsid w:val="00461A5A"/>
    <w:rsid w:val="0046202C"/>
    <w:rsid w:val="00462588"/>
    <w:rsid w:val="004629A2"/>
    <w:rsid w:val="00462BAB"/>
    <w:rsid w:val="00463F88"/>
    <w:rsid w:val="00464DCB"/>
    <w:rsid w:val="00464F34"/>
    <w:rsid w:val="004676BE"/>
    <w:rsid w:val="0046793D"/>
    <w:rsid w:val="00467DB3"/>
    <w:rsid w:val="00467F08"/>
    <w:rsid w:val="00467F65"/>
    <w:rsid w:val="00471159"/>
    <w:rsid w:val="00471A96"/>
    <w:rsid w:val="004720B7"/>
    <w:rsid w:val="0047210E"/>
    <w:rsid w:val="004727BF"/>
    <w:rsid w:val="00473975"/>
    <w:rsid w:val="00473B66"/>
    <w:rsid w:val="00474581"/>
    <w:rsid w:val="00474C49"/>
    <w:rsid w:val="0047503C"/>
    <w:rsid w:val="0047563E"/>
    <w:rsid w:val="00475B6A"/>
    <w:rsid w:val="00475D3C"/>
    <w:rsid w:val="0047602E"/>
    <w:rsid w:val="00476209"/>
    <w:rsid w:val="00476566"/>
    <w:rsid w:val="004766D4"/>
    <w:rsid w:val="0047693D"/>
    <w:rsid w:val="00476B52"/>
    <w:rsid w:val="004773AB"/>
    <w:rsid w:val="00477C45"/>
    <w:rsid w:val="00477CB6"/>
    <w:rsid w:val="00477D2F"/>
    <w:rsid w:val="00480072"/>
    <w:rsid w:val="0048053B"/>
    <w:rsid w:val="00480A69"/>
    <w:rsid w:val="00480F48"/>
    <w:rsid w:val="0048116C"/>
    <w:rsid w:val="0048143B"/>
    <w:rsid w:val="0048345E"/>
    <w:rsid w:val="00483FC9"/>
    <w:rsid w:val="00484DDA"/>
    <w:rsid w:val="004852B9"/>
    <w:rsid w:val="00485CBD"/>
    <w:rsid w:val="0048684A"/>
    <w:rsid w:val="00486DA5"/>
    <w:rsid w:val="00487597"/>
    <w:rsid w:val="004876F5"/>
    <w:rsid w:val="00487A02"/>
    <w:rsid w:val="004901BE"/>
    <w:rsid w:val="00490434"/>
    <w:rsid w:val="0049092A"/>
    <w:rsid w:val="004913CE"/>
    <w:rsid w:val="00491609"/>
    <w:rsid w:val="00491819"/>
    <w:rsid w:val="00491F4D"/>
    <w:rsid w:val="004928AC"/>
    <w:rsid w:val="00492D77"/>
    <w:rsid w:val="00493D5E"/>
    <w:rsid w:val="0049429B"/>
    <w:rsid w:val="00494606"/>
    <w:rsid w:val="00495221"/>
    <w:rsid w:val="00495A17"/>
    <w:rsid w:val="00496C53"/>
    <w:rsid w:val="00496F5D"/>
    <w:rsid w:val="004970FA"/>
    <w:rsid w:val="00497D60"/>
    <w:rsid w:val="004A01BF"/>
    <w:rsid w:val="004A0885"/>
    <w:rsid w:val="004A0D4A"/>
    <w:rsid w:val="004A11BD"/>
    <w:rsid w:val="004A1D97"/>
    <w:rsid w:val="004A3247"/>
    <w:rsid w:val="004A3A58"/>
    <w:rsid w:val="004A3B3D"/>
    <w:rsid w:val="004A47BA"/>
    <w:rsid w:val="004A5880"/>
    <w:rsid w:val="004A5A87"/>
    <w:rsid w:val="004A6C52"/>
    <w:rsid w:val="004A6FAC"/>
    <w:rsid w:val="004A705D"/>
    <w:rsid w:val="004A72B4"/>
    <w:rsid w:val="004A7700"/>
    <w:rsid w:val="004A7B60"/>
    <w:rsid w:val="004B031B"/>
    <w:rsid w:val="004B0D24"/>
    <w:rsid w:val="004B0D82"/>
    <w:rsid w:val="004B135C"/>
    <w:rsid w:val="004B183D"/>
    <w:rsid w:val="004B1C75"/>
    <w:rsid w:val="004B2A17"/>
    <w:rsid w:val="004B38D3"/>
    <w:rsid w:val="004B38D7"/>
    <w:rsid w:val="004B3B58"/>
    <w:rsid w:val="004B4DF9"/>
    <w:rsid w:val="004B572C"/>
    <w:rsid w:val="004B584D"/>
    <w:rsid w:val="004B5870"/>
    <w:rsid w:val="004B67ED"/>
    <w:rsid w:val="004B6F60"/>
    <w:rsid w:val="004B7F4A"/>
    <w:rsid w:val="004C03BC"/>
    <w:rsid w:val="004C0508"/>
    <w:rsid w:val="004C15A0"/>
    <w:rsid w:val="004C1ACF"/>
    <w:rsid w:val="004C378A"/>
    <w:rsid w:val="004C4478"/>
    <w:rsid w:val="004C5778"/>
    <w:rsid w:val="004C5F0D"/>
    <w:rsid w:val="004C6663"/>
    <w:rsid w:val="004C6E6F"/>
    <w:rsid w:val="004C74EC"/>
    <w:rsid w:val="004D09D7"/>
    <w:rsid w:val="004D0C15"/>
    <w:rsid w:val="004D2031"/>
    <w:rsid w:val="004D2753"/>
    <w:rsid w:val="004D2DA8"/>
    <w:rsid w:val="004D36B6"/>
    <w:rsid w:val="004D3B8B"/>
    <w:rsid w:val="004D3C0E"/>
    <w:rsid w:val="004D416B"/>
    <w:rsid w:val="004D417C"/>
    <w:rsid w:val="004D4419"/>
    <w:rsid w:val="004D45AA"/>
    <w:rsid w:val="004D4BDB"/>
    <w:rsid w:val="004D4BE8"/>
    <w:rsid w:val="004D4D4A"/>
    <w:rsid w:val="004D5161"/>
    <w:rsid w:val="004D5BCD"/>
    <w:rsid w:val="004D5E9D"/>
    <w:rsid w:val="004D5FF0"/>
    <w:rsid w:val="004D6755"/>
    <w:rsid w:val="004D6C74"/>
    <w:rsid w:val="004D780C"/>
    <w:rsid w:val="004E0244"/>
    <w:rsid w:val="004E04BF"/>
    <w:rsid w:val="004E0531"/>
    <w:rsid w:val="004E081B"/>
    <w:rsid w:val="004E0A91"/>
    <w:rsid w:val="004E1AE7"/>
    <w:rsid w:val="004E2725"/>
    <w:rsid w:val="004E28B1"/>
    <w:rsid w:val="004E2BE7"/>
    <w:rsid w:val="004E3876"/>
    <w:rsid w:val="004E40B9"/>
    <w:rsid w:val="004E4465"/>
    <w:rsid w:val="004E4AED"/>
    <w:rsid w:val="004E4F98"/>
    <w:rsid w:val="004E5B02"/>
    <w:rsid w:val="004E5BA7"/>
    <w:rsid w:val="004E6AC0"/>
    <w:rsid w:val="004E6ADB"/>
    <w:rsid w:val="004E6D06"/>
    <w:rsid w:val="004E6D5F"/>
    <w:rsid w:val="004E7936"/>
    <w:rsid w:val="004E7D09"/>
    <w:rsid w:val="004E7DF2"/>
    <w:rsid w:val="004F0068"/>
    <w:rsid w:val="004F0D16"/>
    <w:rsid w:val="004F0F3D"/>
    <w:rsid w:val="004F1DDB"/>
    <w:rsid w:val="004F2AB4"/>
    <w:rsid w:val="004F2B30"/>
    <w:rsid w:val="004F3766"/>
    <w:rsid w:val="004F458D"/>
    <w:rsid w:val="004F4727"/>
    <w:rsid w:val="004F4775"/>
    <w:rsid w:val="004F4BB8"/>
    <w:rsid w:val="004F4D10"/>
    <w:rsid w:val="004F50AF"/>
    <w:rsid w:val="004F5C89"/>
    <w:rsid w:val="004F605C"/>
    <w:rsid w:val="004F6B6B"/>
    <w:rsid w:val="004F73C7"/>
    <w:rsid w:val="0050148F"/>
    <w:rsid w:val="00502363"/>
    <w:rsid w:val="00502B1A"/>
    <w:rsid w:val="00502FC6"/>
    <w:rsid w:val="0050394C"/>
    <w:rsid w:val="0050396E"/>
    <w:rsid w:val="0050399F"/>
    <w:rsid w:val="00503EA2"/>
    <w:rsid w:val="00503F93"/>
    <w:rsid w:val="00504A16"/>
    <w:rsid w:val="005050CE"/>
    <w:rsid w:val="00505B5C"/>
    <w:rsid w:val="005067A1"/>
    <w:rsid w:val="0050699D"/>
    <w:rsid w:val="005074D9"/>
    <w:rsid w:val="00510414"/>
    <w:rsid w:val="005124C4"/>
    <w:rsid w:val="00512CC7"/>
    <w:rsid w:val="005130D9"/>
    <w:rsid w:val="005135D6"/>
    <w:rsid w:val="00513822"/>
    <w:rsid w:val="00514158"/>
    <w:rsid w:val="00514783"/>
    <w:rsid w:val="00514EB7"/>
    <w:rsid w:val="00517EE9"/>
    <w:rsid w:val="005208AB"/>
    <w:rsid w:val="00520B00"/>
    <w:rsid w:val="005211D0"/>
    <w:rsid w:val="00521476"/>
    <w:rsid w:val="00521D56"/>
    <w:rsid w:val="005221CA"/>
    <w:rsid w:val="00522F33"/>
    <w:rsid w:val="0052356D"/>
    <w:rsid w:val="0052367C"/>
    <w:rsid w:val="00523DD6"/>
    <w:rsid w:val="0052490C"/>
    <w:rsid w:val="00524D7F"/>
    <w:rsid w:val="00524F06"/>
    <w:rsid w:val="0052508A"/>
    <w:rsid w:val="005278A0"/>
    <w:rsid w:val="005303F8"/>
    <w:rsid w:val="0053078D"/>
    <w:rsid w:val="00530BA1"/>
    <w:rsid w:val="00530FC7"/>
    <w:rsid w:val="005314AD"/>
    <w:rsid w:val="00531C29"/>
    <w:rsid w:val="00531FC9"/>
    <w:rsid w:val="00532026"/>
    <w:rsid w:val="00532673"/>
    <w:rsid w:val="00532DD4"/>
    <w:rsid w:val="0053327A"/>
    <w:rsid w:val="00533D6A"/>
    <w:rsid w:val="00533D84"/>
    <w:rsid w:val="00533E53"/>
    <w:rsid w:val="00533F71"/>
    <w:rsid w:val="005342A5"/>
    <w:rsid w:val="00534771"/>
    <w:rsid w:val="0053499D"/>
    <w:rsid w:val="00535350"/>
    <w:rsid w:val="00535792"/>
    <w:rsid w:val="00535A98"/>
    <w:rsid w:val="00536B6D"/>
    <w:rsid w:val="0053702D"/>
    <w:rsid w:val="00537CB0"/>
    <w:rsid w:val="0054122B"/>
    <w:rsid w:val="005429A0"/>
    <w:rsid w:val="00542C33"/>
    <w:rsid w:val="00542EAE"/>
    <w:rsid w:val="00543964"/>
    <w:rsid w:val="00543C1E"/>
    <w:rsid w:val="00543DBD"/>
    <w:rsid w:val="005447B5"/>
    <w:rsid w:val="00544DA4"/>
    <w:rsid w:val="00544E37"/>
    <w:rsid w:val="00547047"/>
    <w:rsid w:val="005474CB"/>
    <w:rsid w:val="005475C0"/>
    <w:rsid w:val="00550113"/>
    <w:rsid w:val="005511AD"/>
    <w:rsid w:val="00551271"/>
    <w:rsid w:val="0055144E"/>
    <w:rsid w:val="0055245C"/>
    <w:rsid w:val="005528C1"/>
    <w:rsid w:val="00552A83"/>
    <w:rsid w:val="00552BF3"/>
    <w:rsid w:val="00552E3E"/>
    <w:rsid w:val="00553356"/>
    <w:rsid w:val="00554261"/>
    <w:rsid w:val="00554886"/>
    <w:rsid w:val="00554A32"/>
    <w:rsid w:val="00555341"/>
    <w:rsid w:val="00556160"/>
    <w:rsid w:val="005563DA"/>
    <w:rsid w:val="0055657F"/>
    <w:rsid w:val="0055791B"/>
    <w:rsid w:val="00557D09"/>
    <w:rsid w:val="0056002D"/>
    <w:rsid w:val="00560A14"/>
    <w:rsid w:val="00561123"/>
    <w:rsid w:val="005617ED"/>
    <w:rsid w:val="005617F7"/>
    <w:rsid w:val="00562181"/>
    <w:rsid w:val="00562EA4"/>
    <w:rsid w:val="00562EBE"/>
    <w:rsid w:val="00563313"/>
    <w:rsid w:val="00563ADF"/>
    <w:rsid w:val="005643EA"/>
    <w:rsid w:val="00564628"/>
    <w:rsid w:val="00564A89"/>
    <w:rsid w:val="00565031"/>
    <w:rsid w:val="005666F4"/>
    <w:rsid w:val="00566A45"/>
    <w:rsid w:val="00566BD6"/>
    <w:rsid w:val="00566DB5"/>
    <w:rsid w:val="0056778B"/>
    <w:rsid w:val="005723E9"/>
    <w:rsid w:val="005729F8"/>
    <w:rsid w:val="00572C82"/>
    <w:rsid w:val="0057350E"/>
    <w:rsid w:val="00573DB4"/>
    <w:rsid w:val="00574D58"/>
    <w:rsid w:val="00576215"/>
    <w:rsid w:val="0057632A"/>
    <w:rsid w:val="005765A1"/>
    <w:rsid w:val="00577AA3"/>
    <w:rsid w:val="00577E3B"/>
    <w:rsid w:val="0058002E"/>
    <w:rsid w:val="005808DE"/>
    <w:rsid w:val="00581FA5"/>
    <w:rsid w:val="00582399"/>
    <w:rsid w:val="00582923"/>
    <w:rsid w:val="00583884"/>
    <w:rsid w:val="005839C7"/>
    <w:rsid w:val="00583F4C"/>
    <w:rsid w:val="00584165"/>
    <w:rsid w:val="00585466"/>
    <w:rsid w:val="00585B5B"/>
    <w:rsid w:val="0058617B"/>
    <w:rsid w:val="005872C7"/>
    <w:rsid w:val="00587E96"/>
    <w:rsid w:val="00590258"/>
    <w:rsid w:val="00590272"/>
    <w:rsid w:val="00590365"/>
    <w:rsid w:val="00590386"/>
    <w:rsid w:val="005911AC"/>
    <w:rsid w:val="0059138D"/>
    <w:rsid w:val="0059217B"/>
    <w:rsid w:val="00592325"/>
    <w:rsid w:val="00593E1F"/>
    <w:rsid w:val="0059418B"/>
    <w:rsid w:val="00594639"/>
    <w:rsid w:val="0059475E"/>
    <w:rsid w:val="00595FAD"/>
    <w:rsid w:val="0059657D"/>
    <w:rsid w:val="005965CE"/>
    <w:rsid w:val="00597BBC"/>
    <w:rsid w:val="00597C8C"/>
    <w:rsid w:val="005A020C"/>
    <w:rsid w:val="005A1898"/>
    <w:rsid w:val="005A18FB"/>
    <w:rsid w:val="005A2182"/>
    <w:rsid w:val="005A2363"/>
    <w:rsid w:val="005A2C21"/>
    <w:rsid w:val="005A3975"/>
    <w:rsid w:val="005A3A3D"/>
    <w:rsid w:val="005A437B"/>
    <w:rsid w:val="005A43B1"/>
    <w:rsid w:val="005A5E6A"/>
    <w:rsid w:val="005A6305"/>
    <w:rsid w:val="005A682B"/>
    <w:rsid w:val="005A760D"/>
    <w:rsid w:val="005A7713"/>
    <w:rsid w:val="005A7CA9"/>
    <w:rsid w:val="005B003B"/>
    <w:rsid w:val="005B02DE"/>
    <w:rsid w:val="005B0463"/>
    <w:rsid w:val="005B04C9"/>
    <w:rsid w:val="005B0C8D"/>
    <w:rsid w:val="005B13A0"/>
    <w:rsid w:val="005B2FDC"/>
    <w:rsid w:val="005B321D"/>
    <w:rsid w:val="005B3AEF"/>
    <w:rsid w:val="005B3B7C"/>
    <w:rsid w:val="005B44D1"/>
    <w:rsid w:val="005B4DEC"/>
    <w:rsid w:val="005B5390"/>
    <w:rsid w:val="005B54BB"/>
    <w:rsid w:val="005B57EC"/>
    <w:rsid w:val="005B591C"/>
    <w:rsid w:val="005B5D85"/>
    <w:rsid w:val="005B6BC0"/>
    <w:rsid w:val="005B76D3"/>
    <w:rsid w:val="005C0D30"/>
    <w:rsid w:val="005C14B0"/>
    <w:rsid w:val="005C1BC9"/>
    <w:rsid w:val="005C205F"/>
    <w:rsid w:val="005C22EE"/>
    <w:rsid w:val="005C238A"/>
    <w:rsid w:val="005C287F"/>
    <w:rsid w:val="005C29CD"/>
    <w:rsid w:val="005C2A1D"/>
    <w:rsid w:val="005C4D4B"/>
    <w:rsid w:val="005C5136"/>
    <w:rsid w:val="005C517E"/>
    <w:rsid w:val="005C6CF7"/>
    <w:rsid w:val="005C6DEB"/>
    <w:rsid w:val="005C7542"/>
    <w:rsid w:val="005C7A65"/>
    <w:rsid w:val="005C7A91"/>
    <w:rsid w:val="005C7BB4"/>
    <w:rsid w:val="005D0B5D"/>
    <w:rsid w:val="005D0E97"/>
    <w:rsid w:val="005D129B"/>
    <w:rsid w:val="005D2F62"/>
    <w:rsid w:val="005D3034"/>
    <w:rsid w:val="005D3318"/>
    <w:rsid w:val="005D35A0"/>
    <w:rsid w:val="005D3DD9"/>
    <w:rsid w:val="005D3E00"/>
    <w:rsid w:val="005D40D9"/>
    <w:rsid w:val="005D46B2"/>
    <w:rsid w:val="005D46CF"/>
    <w:rsid w:val="005D479B"/>
    <w:rsid w:val="005D4C3D"/>
    <w:rsid w:val="005D4E3E"/>
    <w:rsid w:val="005D5914"/>
    <w:rsid w:val="005D7B1F"/>
    <w:rsid w:val="005E0301"/>
    <w:rsid w:val="005E03B8"/>
    <w:rsid w:val="005E0917"/>
    <w:rsid w:val="005E1B10"/>
    <w:rsid w:val="005E3471"/>
    <w:rsid w:val="005E4BEC"/>
    <w:rsid w:val="005E5070"/>
    <w:rsid w:val="005E53C2"/>
    <w:rsid w:val="005E59EB"/>
    <w:rsid w:val="005E61A3"/>
    <w:rsid w:val="005E7377"/>
    <w:rsid w:val="005E7918"/>
    <w:rsid w:val="005E7DF2"/>
    <w:rsid w:val="005E7FAD"/>
    <w:rsid w:val="005F05ED"/>
    <w:rsid w:val="005F1095"/>
    <w:rsid w:val="005F12F9"/>
    <w:rsid w:val="005F180C"/>
    <w:rsid w:val="005F1957"/>
    <w:rsid w:val="005F1E8A"/>
    <w:rsid w:val="005F1EB8"/>
    <w:rsid w:val="005F3409"/>
    <w:rsid w:val="005F3BBE"/>
    <w:rsid w:val="005F4C2A"/>
    <w:rsid w:val="005F5B6B"/>
    <w:rsid w:val="005F5DF8"/>
    <w:rsid w:val="005F604A"/>
    <w:rsid w:val="005F62AB"/>
    <w:rsid w:val="005F6354"/>
    <w:rsid w:val="005F6603"/>
    <w:rsid w:val="005F6B52"/>
    <w:rsid w:val="005F6FDF"/>
    <w:rsid w:val="005F7C9F"/>
    <w:rsid w:val="0060043C"/>
    <w:rsid w:val="00600733"/>
    <w:rsid w:val="00601450"/>
    <w:rsid w:val="006014C4"/>
    <w:rsid w:val="006015FF"/>
    <w:rsid w:val="0060179C"/>
    <w:rsid w:val="006022CB"/>
    <w:rsid w:val="00602764"/>
    <w:rsid w:val="00602FA5"/>
    <w:rsid w:val="0060500C"/>
    <w:rsid w:val="0060540A"/>
    <w:rsid w:val="00605A9A"/>
    <w:rsid w:val="00605C0A"/>
    <w:rsid w:val="00605F23"/>
    <w:rsid w:val="00606735"/>
    <w:rsid w:val="0060673F"/>
    <w:rsid w:val="00606885"/>
    <w:rsid w:val="0060721A"/>
    <w:rsid w:val="0060723F"/>
    <w:rsid w:val="00607523"/>
    <w:rsid w:val="0060761A"/>
    <w:rsid w:val="006108B8"/>
    <w:rsid w:val="00610920"/>
    <w:rsid w:val="00610AC0"/>
    <w:rsid w:val="00610B56"/>
    <w:rsid w:val="00611073"/>
    <w:rsid w:val="006111E1"/>
    <w:rsid w:val="0061222C"/>
    <w:rsid w:val="0061248F"/>
    <w:rsid w:val="00612780"/>
    <w:rsid w:val="006128D7"/>
    <w:rsid w:val="00613293"/>
    <w:rsid w:val="00613578"/>
    <w:rsid w:val="0061382B"/>
    <w:rsid w:val="00614509"/>
    <w:rsid w:val="0061482E"/>
    <w:rsid w:val="00615252"/>
    <w:rsid w:val="0061552A"/>
    <w:rsid w:val="00615741"/>
    <w:rsid w:val="00615E21"/>
    <w:rsid w:val="00616264"/>
    <w:rsid w:val="00616561"/>
    <w:rsid w:val="00616690"/>
    <w:rsid w:val="00616E90"/>
    <w:rsid w:val="00617517"/>
    <w:rsid w:val="00620AB3"/>
    <w:rsid w:val="00620D4E"/>
    <w:rsid w:val="00620EA6"/>
    <w:rsid w:val="00622B37"/>
    <w:rsid w:val="00622B8C"/>
    <w:rsid w:val="00622DF8"/>
    <w:rsid w:val="00622FBC"/>
    <w:rsid w:val="00623144"/>
    <w:rsid w:val="0062362F"/>
    <w:rsid w:val="00623BD2"/>
    <w:rsid w:val="00623EAD"/>
    <w:rsid w:val="00624117"/>
    <w:rsid w:val="00624624"/>
    <w:rsid w:val="00624CAB"/>
    <w:rsid w:val="00624CCA"/>
    <w:rsid w:val="0062558D"/>
    <w:rsid w:val="006259C7"/>
    <w:rsid w:val="006267B9"/>
    <w:rsid w:val="006269F7"/>
    <w:rsid w:val="00626A88"/>
    <w:rsid w:val="00627143"/>
    <w:rsid w:val="0062765D"/>
    <w:rsid w:val="006302FD"/>
    <w:rsid w:val="00630711"/>
    <w:rsid w:val="00630F9D"/>
    <w:rsid w:val="00631405"/>
    <w:rsid w:val="00631573"/>
    <w:rsid w:val="006317A9"/>
    <w:rsid w:val="0063337F"/>
    <w:rsid w:val="00633D3C"/>
    <w:rsid w:val="00633DEB"/>
    <w:rsid w:val="0063493E"/>
    <w:rsid w:val="00634953"/>
    <w:rsid w:val="00634EC4"/>
    <w:rsid w:val="00635440"/>
    <w:rsid w:val="006364E5"/>
    <w:rsid w:val="00636E68"/>
    <w:rsid w:val="006373B2"/>
    <w:rsid w:val="0063773C"/>
    <w:rsid w:val="00640475"/>
    <w:rsid w:val="006418A0"/>
    <w:rsid w:val="00643011"/>
    <w:rsid w:val="00643362"/>
    <w:rsid w:val="00643457"/>
    <w:rsid w:val="00643B18"/>
    <w:rsid w:val="0064497A"/>
    <w:rsid w:val="006452A4"/>
    <w:rsid w:val="00645573"/>
    <w:rsid w:val="006455B0"/>
    <w:rsid w:val="00645C35"/>
    <w:rsid w:val="00646287"/>
    <w:rsid w:val="0064681C"/>
    <w:rsid w:val="00646D1B"/>
    <w:rsid w:val="006477B8"/>
    <w:rsid w:val="006479E0"/>
    <w:rsid w:val="00647F9C"/>
    <w:rsid w:val="00650529"/>
    <w:rsid w:val="00650B6C"/>
    <w:rsid w:val="00650D5A"/>
    <w:rsid w:val="00650DB8"/>
    <w:rsid w:val="00651C18"/>
    <w:rsid w:val="00652460"/>
    <w:rsid w:val="00652DF7"/>
    <w:rsid w:val="00652F11"/>
    <w:rsid w:val="00652FA2"/>
    <w:rsid w:val="0065346A"/>
    <w:rsid w:val="00653623"/>
    <w:rsid w:val="00654A02"/>
    <w:rsid w:val="00655B6E"/>
    <w:rsid w:val="00655CEE"/>
    <w:rsid w:val="00655F94"/>
    <w:rsid w:val="0065647F"/>
    <w:rsid w:val="006566BD"/>
    <w:rsid w:val="00656B63"/>
    <w:rsid w:val="00656BF0"/>
    <w:rsid w:val="00661595"/>
    <w:rsid w:val="006616E2"/>
    <w:rsid w:val="0066173C"/>
    <w:rsid w:val="0066186C"/>
    <w:rsid w:val="00662545"/>
    <w:rsid w:val="00662E37"/>
    <w:rsid w:val="006632F8"/>
    <w:rsid w:val="00664361"/>
    <w:rsid w:val="006646B6"/>
    <w:rsid w:val="00664874"/>
    <w:rsid w:val="00664924"/>
    <w:rsid w:val="006657C2"/>
    <w:rsid w:val="006660B9"/>
    <w:rsid w:val="00666996"/>
    <w:rsid w:val="006669DD"/>
    <w:rsid w:val="006673B5"/>
    <w:rsid w:val="00670758"/>
    <w:rsid w:val="00670DDB"/>
    <w:rsid w:val="006710C9"/>
    <w:rsid w:val="00672D2A"/>
    <w:rsid w:val="00673210"/>
    <w:rsid w:val="00674597"/>
    <w:rsid w:val="0067468E"/>
    <w:rsid w:val="006746DB"/>
    <w:rsid w:val="00674BF5"/>
    <w:rsid w:val="00674FCA"/>
    <w:rsid w:val="006750B8"/>
    <w:rsid w:val="00675C59"/>
    <w:rsid w:val="00676B1C"/>
    <w:rsid w:val="00676B42"/>
    <w:rsid w:val="00676B98"/>
    <w:rsid w:val="006771CE"/>
    <w:rsid w:val="006778A2"/>
    <w:rsid w:val="00677A91"/>
    <w:rsid w:val="00680478"/>
    <w:rsid w:val="0068084D"/>
    <w:rsid w:val="00680EB1"/>
    <w:rsid w:val="00681382"/>
    <w:rsid w:val="00681AF4"/>
    <w:rsid w:val="00681C30"/>
    <w:rsid w:val="00685182"/>
    <w:rsid w:val="006855AB"/>
    <w:rsid w:val="0068594D"/>
    <w:rsid w:val="006875D3"/>
    <w:rsid w:val="00690B40"/>
    <w:rsid w:val="00690D01"/>
    <w:rsid w:val="006916DC"/>
    <w:rsid w:val="00691F49"/>
    <w:rsid w:val="00691F72"/>
    <w:rsid w:val="00691F9C"/>
    <w:rsid w:val="00692A55"/>
    <w:rsid w:val="00692B10"/>
    <w:rsid w:val="00692BF2"/>
    <w:rsid w:val="0069572F"/>
    <w:rsid w:val="00695A63"/>
    <w:rsid w:val="00695AE9"/>
    <w:rsid w:val="00696434"/>
    <w:rsid w:val="006966FF"/>
    <w:rsid w:val="00696D33"/>
    <w:rsid w:val="00696F12"/>
    <w:rsid w:val="006972E8"/>
    <w:rsid w:val="00697F87"/>
    <w:rsid w:val="006A01F5"/>
    <w:rsid w:val="006A06CB"/>
    <w:rsid w:val="006A14F6"/>
    <w:rsid w:val="006A1610"/>
    <w:rsid w:val="006A20A0"/>
    <w:rsid w:val="006A3201"/>
    <w:rsid w:val="006A3A82"/>
    <w:rsid w:val="006A4B1B"/>
    <w:rsid w:val="006A56F0"/>
    <w:rsid w:val="006A6049"/>
    <w:rsid w:val="006A66C9"/>
    <w:rsid w:val="006A6822"/>
    <w:rsid w:val="006A6CCF"/>
    <w:rsid w:val="006A7AEE"/>
    <w:rsid w:val="006A7EC8"/>
    <w:rsid w:val="006B08A5"/>
    <w:rsid w:val="006B0EEE"/>
    <w:rsid w:val="006B19A0"/>
    <w:rsid w:val="006B1A77"/>
    <w:rsid w:val="006B2333"/>
    <w:rsid w:val="006B2A31"/>
    <w:rsid w:val="006B2C9D"/>
    <w:rsid w:val="006B2F88"/>
    <w:rsid w:val="006B36C2"/>
    <w:rsid w:val="006B3BAE"/>
    <w:rsid w:val="006B4156"/>
    <w:rsid w:val="006B42A7"/>
    <w:rsid w:val="006B4AC8"/>
    <w:rsid w:val="006B4D16"/>
    <w:rsid w:val="006B4E35"/>
    <w:rsid w:val="006B5308"/>
    <w:rsid w:val="006B55D6"/>
    <w:rsid w:val="006B5A2B"/>
    <w:rsid w:val="006B5BA8"/>
    <w:rsid w:val="006B5D78"/>
    <w:rsid w:val="006B6C6F"/>
    <w:rsid w:val="006B71D2"/>
    <w:rsid w:val="006B7228"/>
    <w:rsid w:val="006B72F3"/>
    <w:rsid w:val="006B7FA8"/>
    <w:rsid w:val="006C0691"/>
    <w:rsid w:val="006C0915"/>
    <w:rsid w:val="006C0EF3"/>
    <w:rsid w:val="006C11BB"/>
    <w:rsid w:val="006C163A"/>
    <w:rsid w:val="006C1FB5"/>
    <w:rsid w:val="006C2B49"/>
    <w:rsid w:val="006C2F15"/>
    <w:rsid w:val="006C2F61"/>
    <w:rsid w:val="006C35BA"/>
    <w:rsid w:val="006C3FF9"/>
    <w:rsid w:val="006C4136"/>
    <w:rsid w:val="006C4174"/>
    <w:rsid w:val="006C45C6"/>
    <w:rsid w:val="006C4A8F"/>
    <w:rsid w:val="006C4D76"/>
    <w:rsid w:val="006C52E6"/>
    <w:rsid w:val="006C5419"/>
    <w:rsid w:val="006C5A08"/>
    <w:rsid w:val="006C5A49"/>
    <w:rsid w:val="006C628F"/>
    <w:rsid w:val="006C6533"/>
    <w:rsid w:val="006C65B3"/>
    <w:rsid w:val="006C66DB"/>
    <w:rsid w:val="006C6C01"/>
    <w:rsid w:val="006C6D3F"/>
    <w:rsid w:val="006C6E5D"/>
    <w:rsid w:val="006C6EE0"/>
    <w:rsid w:val="006C7201"/>
    <w:rsid w:val="006D035C"/>
    <w:rsid w:val="006D1B6A"/>
    <w:rsid w:val="006D1DDA"/>
    <w:rsid w:val="006D2499"/>
    <w:rsid w:val="006D35FC"/>
    <w:rsid w:val="006D3840"/>
    <w:rsid w:val="006D3B1A"/>
    <w:rsid w:val="006D4906"/>
    <w:rsid w:val="006D49F3"/>
    <w:rsid w:val="006D61DB"/>
    <w:rsid w:val="006D665A"/>
    <w:rsid w:val="006D6AE0"/>
    <w:rsid w:val="006D71F3"/>
    <w:rsid w:val="006D7512"/>
    <w:rsid w:val="006E01DA"/>
    <w:rsid w:val="006E0809"/>
    <w:rsid w:val="006E0E76"/>
    <w:rsid w:val="006E0FC4"/>
    <w:rsid w:val="006E192D"/>
    <w:rsid w:val="006E1A84"/>
    <w:rsid w:val="006E3440"/>
    <w:rsid w:val="006E347B"/>
    <w:rsid w:val="006E52E7"/>
    <w:rsid w:val="006E5764"/>
    <w:rsid w:val="006E5D07"/>
    <w:rsid w:val="006E63FF"/>
    <w:rsid w:val="006E6778"/>
    <w:rsid w:val="006E6AEF"/>
    <w:rsid w:val="006E71BB"/>
    <w:rsid w:val="006F05B2"/>
    <w:rsid w:val="006F0968"/>
    <w:rsid w:val="006F183F"/>
    <w:rsid w:val="006F20A4"/>
    <w:rsid w:val="006F2637"/>
    <w:rsid w:val="006F2989"/>
    <w:rsid w:val="006F2BDC"/>
    <w:rsid w:val="006F333E"/>
    <w:rsid w:val="006F3626"/>
    <w:rsid w:val="006F4495"/>
    <w:rsid w:val="006F503D"/>
    <w:rsid w:val="006F53D7"/>
    <w:rsid w:val="006F5758"/>
    <w:rsid w:val="006F57E9"/>
    <w:rsid w:val="006F6D84"/>
    <w:rsid w:val="006F7C5C"/>
    <w:rsid w:val="00700DE8"/>
    <w:rsid w:val="00700DFD"/>
    <w:rsid w:val="0070368E"/>
    <w:rsid w:val="007038D5"/>
    <w:rsid w:val="00703905"/>
    <w:rsid w:val="00703C87"/>
    <w:rsid w:val="007047A5"/>
    <w:rsid w:val="00705025"/>
    <w:rsid w:val="007062FD"/>
    <w:rsid w:val="007063EE"/>
    <w:rsid w:val="007065FE"/>
    <w:rsid w:val="00706D25"/>
    <w:rsid w:val="0070781A"/>
    <w:rsid w:val="007079CE"/>
    <w:rsid w:val="007106FB"/>
    <w:rsid w:val="007111B3"/>
    <w:rsid w:val="00711BCF"/>
    <w:rsid w:val="00711F3A"/>
    <w:rsid w:val="007121C9"/>
    <w:rsid w:val="00712B6C"/>
    <w:rsid w:val="00712C8C"/>
    <w:rsid w:val="00712DE1"/>
    <w:rsid w:val="00712F56"/>
    <w:rsid w:val="0071322C"/>
    <w:rsid w:val="0071377A"/>
    <w:rsid w:val="00713E91"/>
    <w:rsid w:val="00714E47"/>
    <w:rsid w:val="007158B2"/>
    <w:rsid w:val="00717068"/>
    <w:rsid w:val="007172B2"/>
    <w:rsid w:val="00720ADC"/>
    <w:rsid w:val="00721A22"/>
    <w:rsid w:val="00721CEA"/>
    <w:rsid w:val="0072265E"/>
    <w:rsid w:val="00722A10"/>
    <w:rsid w:val="007233B1"/>
    <w:rsid w:val="00723A50"/>
    <w:rsid w:val="00724108"/>
    <w:rsid w:val="007241D3"/>
    <w:rsid w:val="007247ED"/>
    <w:rsid w:val="007248BD"/>
    <w:rsid w:val="007260DA"/>
    <w:rsid w:val="00727159"/>
    <w:rsid w:val="00727756"/>
    <w:rsid w:val="00730040"/>
    <w:rsid w:val="007322FC"/>
    <w:rsid w:val="0073242B"/>
    <w:rsid w:val="00732D6D"/>
    <w:rsid w:val="00733B77"/>
    <w:rsid w:val="007345D3"/>
    <w:rsid w:val="0073473E"/>
    <w:rsid w:val="00734839"/>
    <w:rsid w:val="0073527C"/>
    <w:rsid w:val="0073581C"/>
    <w:rsid w:val="00735F76"/>
    <w:rsid w:val="007363FA"/>
    <w:rsid w:val="00736AD5"/>
    <w:rsid w:val="00736D27"/>
    <w:rsid w:val="00736F34"/>
    <w:rsid w:val="00737825"/>
    <w:rsid w:val="00737CC7"/>
    <w:rsid w:val="00741BA6"/>
    <w:rsid w:val="007420C6"/>
    <w:rsid w:val="007421F4"/>
    <w:rsid w:val="007434D0"/>
    <w:rsid w:val="0074443D"/>
    <w:rsid w:val="007445C4"/>
    <w:rsid w:val="00744A59"/>
    <w:rsid w:val="00744A63"/>
    <w:rsid w:val="00745142"/>
    <w:rsid w:val="0074520F"/>
    <w:rsid w:val="00745369"/>
    <w:rsid w:val="007463E2"/>
    <w:rsid w:val="007466A4"/>
    <w:rsid w:val="00747258"/>
    <w:rsid w:val="00747FFA"/>
    <w:rsid w:val="007503D4"/>
    <w:rsid w:val="0075112B"/>
    <w:rsid w:val="00751FBE"/>
    <w:rsid w:val="007528E5"/>
    <w:rsid w:val="00752B94"/>
    <w:rsid w:val="0075303E"/>
    <w:rsid w:val="0075306B"/>
    <w:rsid w:val="0075397B"/>
    <w:rsid w:val="00754ADC"/>
    <w:rsid w:val="0075517F"/>
    <w:rsid w:val="007574C3"/>
    <w:rsid w:val="00757765"/>
    <w:rsid w:val="00757C6D"/>
    <w:rsid w:val="00757C76"/>
    <w:rsid w:val="007608E4"/>
    <w:rsid w:val="00760D4A"/>
    <w:rsid w:val="007615A8"/>
    <w:rsid w:val="00761856"/>
    <w:rsid w:val="00761891"/>
    <w:rsid w:val="00762178"/>
    <w:rsid w:val="007621FD"/>
    <w:rsid w:val="0076257F"/>
    <w:rsid w:val="00763A4B"/>
    <w:rsid w:val="00763B4B"/>
    <w:rsid w:val="00764BC5"/>
    <w:rsid w:val="00764E61"/>
    <w:rsid w:val="00765008"/>
    <w:rsid w:val="00766BA5"/>
    <w:rsid w:val="007676ED"/>
    <w:rsid w:val="007679BF"/>
    <w:rsid w:val="00770830"/>
    <w:rsid w:val="0077085A"/>
    <w:rsid w:val="00770C81"/>
    <w:rsid w:val="00770D40"/>
    <w:rsid w:val="00770EAF"/>
    <w:rsid w:val="00770F0C"/>
    <w:rsid w:val="00771068"/>
    <w:rsid w:val="007711E7"/>
    <w:rsid w:val="007715D6"/>
    <w:rsid w:val="00771841"/>
    <w:rsid w:val="00771E97"/>
    <w:rsid w:val="0077276E"/>
    <w:rsid w:val="007745EB"/>
    <w:rsid w:val="007749CC"/>
    <w:rsid w:val="00775210"/>
    <w:rsid w:val="0077559A"/>
    <w:rsid w:val="00776893"/>
    <w:rsid w:val="0078015D"/>
    <w:rsid w:val="00780DE5"/>
    <w:rsid w:val="00781160"/>
    <w:rsid w:val="00781E90"/>
    <w:rsid w:val="007821EA"/>
    <w:rsid w:val="007827A3"/>
    <w:rsid w:val="007827A8"/>
    <w:rsid w:val="00782DD2"/>
    <w:rsid w:val="00783881"/>
    <w:rsid w:val="00783CDF"/>
    <w:rsid w:val="00783DA7"/>
    <w:rsid w:val="0078416A"/>
    <w:rsid w:val="007843C7"/>
    <w:rsid w:val="00784477"/>
    <w:rsid w:val="00784A19"/>
    <w:rsid w:val="00784C9E"/>
    <w:rsid w:val="0078506A"/>
    <w:rsid w:val="00785E60"/>
    <w:rsid w:val="00785F3E"/>
    <w:rsid w:val="007864CA"/>
    <w:rsid w:val="00787028"/>
    <w:rsid w:val="00787733"/>
    <w:rsid w:val="00787CDE"/>
    <w:rsid w:val="00790738"/>
    <w:rsid w:val="007907BA"/>
    <w:rsid w:val="00791DA9"/>
    <w:rsid w:val="0079311D"/>
    <w:rsid w:val="00793EAF"/>
    <w:rsid w:val="00795E09"/>
    <w:rsid w:val="00795EC6"/>
    <w:rsid w:val="007968EE"/>
    <w:rsid w:val="007969A4"/>
    <w:rsid w:val="00796EBB"/>
    <w:rsid w:val="00797715"/>
    <w:rsid w:val="00797C89"/>
    <w:rsid w:val="00797CB8"/>
    <w:rsid w:val="007A00D6"/>
    <w:rsid w:val="007A0CE8"/>
    <w:rsid w:val="007A1067"/>
    <w:rsid w:val="007A1969"/>
    <w:rsid w:val="007A1D61"/>
    <w:rsid w:val="007A1E2E"/>
    <w:rsid w:val="007A212A"/>
    <w:rsid w:val="007A3184"/>
    <w:rsid w:val="007A40CB"/>
    <w:rsid w:val="007A49AC"/>
    <w:rsid w:val="007A4CFD"/>
    <w:rsid w:val="007A59A1"/>
    <w:rsid w:val="007A689E"/>
    <w:rsid w:val="007B0068"/>
    <w:rsid w:val="007B025E"/>
    <w:rsid w:val="007B0721"/>
    <w:rsid w:val="007B094B"/>
    <w:rsid w:val="007B0AC3"/>
    <w:rsid w:val="007B16A3"/>
    <w:rsid w:val="007B2006"/>
    <w:rsid w:val="007B23C6"/>
    <w:rsid w:val="007B2F85"/>
    <w:rsid w:val="007B3E4D"/>
    <w:rsid w:val="007B4067"/>
    <w:rsid w:val="007B42A2"/>
    <w:rsid w:val="007B45DE"/>
    <w:rsid w:val="007B4F0B"/>
    <w:rsid w:val="007B4FD3"/>
    <w:rsid w:val="007B54D6"/>
    <w:rsid w:val="007B5523"/>
    <w:rsid w:val="007C099C"/>
    <w:rsid w:val="007C2334"/>
    <w:rsid w:val="007C2F65"/>
    <w:rsid w:val="007C3753"/>
    <w:rsid w:val="007C3B71"/>
    <w:rsid w:val="007C3C26"/>
    <w:rsid w:val="007C4917"/>
    <w:rsid w:val="007C4C33"/>
    <w:rsid w:val="007C5DF2"/>
    <w:rsid w:val="007C634D"/>
    <w:rsid w:val="007C64F7"/>
    <w:rsid w:val="007C6E13"/>
    <w:rsid w:val="007C6E66"/>
    <w:rsid w:val="007C7012"/>
    <w:rsid w:val="007C795D"/>
    <w:rsid w:val="007C7C9C"/>
    <w:rsid w:val="007D0ABB"/>
    <w:rsid w:val="007D1696"/>
    <w:rsid w:val="007D183F"/>
    <w:rsid w:val="007D1F12"/>
    <w:rsid w:val="007D2AEF"/>
    <w:rsid w:val="007D2CE6"/>
    <w:rsid w:val="007D43DC"/>
    <w:rsid w:val="007D4E75"/>
    <w:rsid w:val="007D4FF8"/>
    <w:rsid w:val="007D633B"/>
    <w:rsid w:val="007D63B3"/>
    <w:rsid w:val="007D6C2E"/>
    <w:rsid w:val="007D7D73"/>
    <w:rsid w:val="007E16E5"/>
    <w:rsid w:val="007E18B7"/>
    <w:rsid w:val="007E18BB"/>
    <w:rsid w:val="007E323F"/>
    <w:rsid w:val="007E33D4"/>
    <w:rsid w:val="007E39E6"/>
    <w:rsid w:val="007E3DCF"/>
    <w:rsid w:val="007E475F"/>
    <w:rsid w:val="007E5285"/>
    <w:rsid w:val="007E561D"/>
    <w:rsid w:val="007E69E0"/>
    <w:rsid w:val="007E6F35"/>
    <w:rsid w:val="007E7340"/>
    <w:rsid w:val="007E78DF"/>
    <w:rsid w:val="007F0343"/>
    <w:rsid w:val="007F0442"/>
    <w:rsid w:val="007F0E3B"/>
    <w:rsid w:val="007F1856"/>
    <w:rsid w:val="007F1970"/>
    <w:rsid w:val="007F3089"/>
    <w:rsid w:val="007F360A"/>
    <w:rsid w:val="007F4243"/>
    <w:rsid w:val="007F5121"/>
    <w:rsid w:val="007F5225"/>
    <w:rsid w:val="007F5488"/>
    <w:rsid w:val="007F61D6"/>
    <w:rsid w:val="007F6D99"/>
    <w:rsid w:val="007F6E9E"/>
    <w:rsid w:val="007F7794"/>
    <w:rsid w:val="007F7831"/>
    <w:rsid w:val="007F7A60"/>
    <w:rsid w:val="008004DF"/>
    <w:rsid w:val="008015A0"/>
    <w:rsid w:val="0080161E"/>
    <w:rsid w:val="00802421"/>
    <w:rsid w:val="008024B2"/>
    <w:rsid w:val="00802958"/>
    <w:rsid w:val="00803C30"/>
    <w:rsid w:val="00804478"/>
    <w:rsid w:val="00804D12"/>
    <w:rsid w:val="00804D43"/>
    <w:rsid w:val="00804E37"/>
    <w:rsid w:val="00805255"/>
    <w:rsid w:val="008054BD"/>
    <w:rsid w:val="0080570B"/>
    <w:rsid w:val="00805773"/>
    <w:rsid w:val="008060AD"/>
    <w:rsid w:val="00810586"/>
    <w:rsid w:val="00810D73"/>
    <w:rsid w:val="00810F87"/>
    <w:rsid w:val="0081176B"/>
    <w:rsid w:val="008122CC"/>
    <w:rsid w:val="00812582"/>
    <w:rsid w:val="008125D7"/>
    <w:rsid w:val="008125DC"/>
    <w:rsid w:val="008126F5"/>
    <w:rsid w:val="008136B4"/>
    <w:rsid w:val="00813B8E"/>
    <w:rsid w:val="008145C0"/>
    <w:rsid w:val="008151A6"/>
    <w:rsid w:val="00815EE9"/>
    <w:rsid w:val="00816B32"/>
    <w:rsid w:val="00816F2D"/>
    <w:rsid w:val="0082014C"/>
    <w:rsid w:val="00820BEF"/>
    <w:rsid w:val="00820E23"/>
    <w:rsid w:val="0082105B"/>
    <w:rsid w:val="008218A6"/>
    <w:rsid w:val="00821924"/>
    <w:rsid w:val="008221EB"/>
    <w:rsid w:val="008226CF"/>
    <w:rsid w:val="00822727"/>
    <w:rsid w:val="008241B9"/>
    <w:rsid w:val="008245CD"/>
    <w:rsid w:val="008248E0"/>
    <w:rsid w:val="00825F19"/>
    <w:rsid w:val="00826E25"/>
    <w:rsid w:val="00827BBD"/>
    <w:rsid w:val="00827C9A"/>
    <w:rsid w:val="008304E8"/>
    <w:rsid w:val="00830F86"/>
    <w:rsid w:val="00831ABE"/>
    <w:rsid w:val="00831F76"/>
    <w:rsid w:val="0083278B"/>
    <w:rsid w:val="0083285E"/>
    <w:rsid w:val="00832AA1"/>
    <w:rsid w:val="008335D5"/>
    <w:rsid w:val="00833EC0"/>
    <w:rsid w:val="008343BD"/>
    <w:rsid w:val="0083444D"/>
    <w:rsid w:val="00834E93"/>
    <w:rsid w:val="00836202"/>
    <w:rsid w:val="00836845"/>
    <w:rsid w:val="008371A5"/>
    <w:rsid w:val="00837612"/>
    <w:rsid w:val="0084042B"/>
    <w:rsid w:val="00840A22"/>
    <w:rsid w:val="00841322"/>
    <w:rsid w:val="00841645"/>
    <w:rsid w:val="008420D9"/>
    <w:rsid w:val="008427C5"/>
    <w:rsid w:val="00842A5C"/>
    <w:rsid w:val="0084420A"/>
    <w:rsid w:val="00844689"/>
    <w:rsid w:val="00844BF5"/>
    <w:rsid w:val="00845545"/>
    <w:rsid w:val="00845551"/>
    <w:rsid w:val="008469DF"/>
    <w:rsid w:val="00846DF1"/>
    <w:rsid w:val="0084728B"/>
    <w:rsid w:val="008503E1"/>
    <w:rsid w:val="00850412"/>
    <w:rsid w:val="00850C75"/>
    <w:rsid w:val="00851278"/>
    <w:rsid w:val="0085261B"/>
    <w:rsid w:val="00852CAD"/>
    <w:rsid w:val="008535AE"/>
    <w:rsid w:val="00854146"/>
    <w:rsid w:val="0085432E"/>
    <w:rsid w:val="008549C7"/>
    <w:rsid w:val="00854E5A"/>
    <w:rsid w:val="0085520E"/>
    <w:rsid w:val="00855D5F"/>
    <w:rsid w:val="00855E9C"/>
    <w:rsid w:val="00855EAC"/>
    <w:rsid w:val="00855EF0"/>
    <w:rsid w:val="008564FF"/>
    <w:rsid w:val="00856854"/>
    <w:rsid w:val="0085692D"/>
    <w:rsid w:val="00856E42"/>
    <w:rsid w:val="008572D8"/>
    <w:rsid w:val="0086119A"/>
    <w:rsid w:val="00863003"/>
    <w:rsid w:val="00864235"/>
    <w:rsid w:val="0086427F"/>
    <w:rsid w:val="008644AC"/>
    <w:rsid w:val="00864AE7"/>
    <w:rsid w:val="00865AC9"/>
    <w:rsid w:val="0086634C"/>
    <w:rsid w:val="008663AF"/>
    <w:rsid w:val="00866C27"/>
    <w:rsid w:val="00867C62"/>
    <w:rsid w:val="00867EDC"/>
    <w:rsid w:val="00870531"/>
    <w:rsid w:val="00870D88"/>
    <w:rsid w:val="008716AE"/>
    <w:rsid w:val="00871877"/>
    <w:rsid w:val="00871CAF"/>
    <w:rsid w:val="008726CA"/>
    <w:rsid w:val="008737EA"/>
    <w:rsid w:val="00873855"/>
    <w:rsid w:val="00873BC6"/>
    <w:rsid w:val="0087411F"/>
    <w:rsid w:val="008744A5"/>
    <w:rsid w:val="008745D3"/>
    <w:rsid w:val="0087489F"/>
    <w:rsid w:val="00874F0C"/>
    <w:rsid w:val="00875044"/>
    <w:rsid w:val="00875C7F"/>
    <w:rsid w:val="00880389"/>
    <w:rsid w:val="008803F1"/>
    <w:rsid w:val="00880E92"/>
    <w:rsid w:val="00881238"/>
    <w:rsid w:val="008815DE"/>
    <w:rsid w:val="0088172D"/>
    <w:rsid w:val="00881778"/>
    <w:rsid w:val="00882103"/>
    <w:rsid w:val="00882429"/>
    <w:rsid w:val="008824B3"/>
    <w:rsid w:val="00883142"/>
    <w:rsid w:val="00884384"/>
    <w:rsid w:val="00884B2C"/>
    <w:rsid w:val="00884FEB"/>
    <w:rsid w:val="00885185"/>
    <w:rsid w:val="00885309"/>
    <w:rsid w:val="0088587E"/>
    <w:rsid w:val="0088630E"/>
    <w:rsid w:val="00886C8D"/>
    <w:rsid w:val="00887540"/>
    <w:rsid w:val="00887637"/>
    <w:rsid w:val="00887929"/>
    <w:rsid w:val="00887A83"/>
    <w:rsid w:val="0089010B"/>
    <w:rsid w:val="00890C60"/>
    <w:rsid w:val="00891BDF"/>
    <w:rsid w:val="00892B2B"/>
    <w:rsid w:val="00892D29"/>
    <w:rsid w:val="00893133"/>
    <w:rsid w:val="008932B5"/>
    <w:rsid w:val="008935EB"/>
    <w:rsid w:val="00893EDA"/>
    <w:rsid w:val="00894221"/>
    <w:rsid w:val="008957C5"/>
    <w:rsid w:val="008968A4"/>
    <w:rsid w:val="00896AD0"/>
    <w:rsid w:val="00897812"/>
    <w:rsid w:val="008A05EC"/>
    <w:rsid w:val="008A0983"/>
    <w:rsid w:val="008A1203"/>
    <w:rsid w:val="008A15A6"/>
    <w:rsid w:val="008A1A1E"/>
    <w:rsid w:val="008A1C51"/>
    <w:rsid w:val="008A1E95"/>
    <w:rsid w:val="008A301C"/>
    <w:rsid w:val="008A3152"/>
    <w:rsid w:val="008A3D96"/>
    <w:rsid w:val="008A4007"/>
    <w:rsid w:val="008A49E8"/>
    <w:rsid w:val="008A509C"/>
    <w:rsid w:val="008A57FE"/>
    <w:rsid w:val="008A5DBC"/>
    <w:rsid w:val="008A61B3"/>
    <w:rsid w:val="008A7A5D"/>
    <w:rsid w:val="008B03CF"/>
    <w:rsid w:val="008B18D4"/>
    <w:rsid w:val="008B1A0F"/>
    <w:rsid w:val="008B1D49"/>
    <w:rsid w:val="008B2119"/>
    <w:rsid w:val="008B23C9"/>
    <w:rsid w:val="008B2F5E"/>
    <w:rsid w:val="008B37B1"/>
    <w:rsid w:val="008B3A5F"/>
    <w:rsid w:val="008B3CFF"/>
    <w:rsid w:val="008B3E8F"/>
    <w:rsid w:val="008B6066"/>
    <w:rsid w:val="008B695F"/>
    <w:rsid w:val="008B6B86"/>
    <w:rsid w:val="008B7267"/>
    <w:rsid w:val="008B73EE"/>
    <w:rsid w:val="008C017D"/>
    <w:rsid w:val="008C06AC"/>
    <w:rsid w:val="008C09FE"/>
    <w:rsid w:val="008C122C"/>
    <w:rsid w:val="008C1630"/>
    <w:rsid w:val="008C2330"/>
    <w:rsid w:val="008C26F8"/>
    <w:rsid w:val="008C2DC4"/>
    <w:rsid w:val="008C407F"/>
    <w:rsid w:val="008C5233"/>
    <w:rsid w:val="008C5886"/>
    <w:rsid w:val="008C624D"/>
    <w:rsid w:val="008C66C7"/>
    <w:rsid w:val="008C6A9B"/>
    <w:rsid w:val="008C6E0B"/>
    <w:rsid w:val="008C732E"/>
    <w:rsid w:val="008D0D6A"/>
    <w:rsid w:val="008D1A82"/>
    <w:rsid w:val="008D1D6C"/>
    <w:rsid w:val="008D2210"/>
    <w:rsid w:val="008D230A"/>
    <w:rsid w:val="008D24A6"/>
    <w:rsid w:val="008D274F"/>
    <w:rsid w:val="008D30F0"/>
    <w:rsid w:val="008D39DC"/>
    <w:rsid w:val="008D3F1E"/>
    <w:rsid w:val="008D4535"/>
    <w:rsid w:val="008D482A"/>
    <w:rsid w:val="008D53B8"/>
    <w:rsid w:val="008D545F"/>
    <w:rsid w:val="008D5CDE"/>
    <w:rsid w:val="008D6256"/>
    <w:rsid w:val="008D62E0"/>
    <w:rsid w:val="008D6581"/>
    <w:rsid w:val="008D6707"/>
    <w:rsid w:val="008D696E"/>
    <w:rsid w:val="008D7D83"/>
    <w:rsid w:val="008E0316"/>
    <w:rsid w:val="008E0688"/>
    <w:rsid w:val="008E0E86"/>
    <w:rsid w:val="008E0F08"/>
    <w:rsid w:val="008E10EF"/>
    <w:rsid w:val="008E20BD"/>
    <w:rsid w:val="008E234F"/>
    <w:rsid w:val="008E38E8"/>
    <w:rsid w:val="008E3C30"/>
    <w:rsid w:val="008E3CA9"/>
    <w:rsid w:val="008E3F40"/>
    <w:rsid w:val="008E45E2"/>
    <w:rsid w:val="008E47D2"/>
    <w:rsid w:val="008E47E0"/>
    <w:rsid w:val="008E5ADB"/>
    <w:rsid w:val="008F0657"/>
    <w:rsid w:val="008F0BB5"/>
    <w:rsid w:val="008F1D51"/>
    <w:rsid w:val="008F2C6B"/>
    <w:rsid w:val="008F2C9F"/>
    <w:rsid w:val="008F2D4E"/>
    <w:rsid w:val="008F3052"/>
    <w:rsid w:val="008F42E6"/>
    <w:rsid w:val="008F4E5E"/>
    <w:rsid w:val="008F50BD"/>
    <w:rsid w:val="008F50DF"/>
    <w:rsid w:val="008F5387"/>
    <w:rsid w:val="008F54B0"/>
    <w:rsid w:val="008F5BFE"/>
    <w:rsid w:val="008F6645"/>
    <w:rsid w:val="008F68C6"/>
    <w:rsid w:val="008F6A6F"/>
    <w:rsid w:val="008F6A7A"/>
    <w:rsid w:val="008F6C88"/>
    <w:rsid w:val="008F7C56"/>
    <w:rsid w:val="009000FA"/>
    <w:rsid w:val="009002F9"/>
    <w:rsid w:val="0090036A"/>
    <w:rsid w:val="00900C1D"/>
    <w:rsid w:val="00901501"/>
    <w:rsid w:val="009016B6"/>
    <w:rsid w:val="00902EFC"/>
    <w:rsid w:val="00905EA9"/>
    <w:rsid w:val="009068C9"/>
    <w:rsid w:val="00907115"/>
    <w:rsid w:val="00907513"/>
    <w:rsid w:val="00910210"/>
    <w:rsid w:val="009109C8"/>
    <w:rsid w:val="009118EE"/>
    <w:rsid w:val="00912DF5"/>
    <w:rsid w:val="009143C0"/>
    <w:rsid w:val="00914623"/>
    <w:rsid w:val="00915A37"/>
    <w:rsid w:val="00916197"/>
    <w:rsid w:val="00917EC3"/>
    <w:rsid w:val="009200FE"/>
    <w:rsid w:val="00920491"/>
    <w:rsid w:val="00921700"/>
    <w:rsid w:val="00922464"/>
    <w:rsid w:val="00922B19"/>
    <w:rsid w:val="00922F04"/>
    <w:rsid w:val="0092368F"/>
    <w:rsid w:val="009239A1"/>
    <w:rsid w:val="0092451B"/>
    <w:rsid w:val="009247A0"/>
    <w:rsid w:val="00924EEF"/>
    <w:rsid w:val="00924FE7"/>
    <w:rsid w:val="009258A2"/>
    <w:rsid w:val="00926264"/>
    <w:rsid w:val="009265F9"/>
    <w:rsid w:val="009270FE"/>
    <w:rsid w:val="00927A7A"/>
    <w:rsid w:val="00927A8B"/>
    <w:rsid w:val="00927B49"/>
    <w:rsid w:val="00927C12"/>
    <w:rsid w:val="00927F02"/>
    <w:rsid w:val="0093055F"/>
    <w:rsid w:val="00930817"/>
    <w:rsid w:val="009308DB"/>
    <w:rsid w:val="00931528"/>
    <w:rsid w:val="009317AA"/>
    <w:rsid w:val="0093202C"/>
    <w:rsid w:val="00932E47"/>
    <w:rsid w:val="009339C1"/>
    <w:rsid w:val="00934057"/>
    <w:rsid w:val="00934426"/>
    <w:rsid w:val="009349EC"/>
    <w:rsid w:val="00934BDB"/>
    <w:rsid w:val="00934F04"/>
    <w:rsid w:val="00935E33"/>
    <w:rsid w:val="00936395"/>
    <w:rsid w:val="00936BB3"/>
    <w:rsid w:val="00936DD1"/>
    <w:rsid w:val="009371BA"/>
    <w:rsid w:val="00937A7D"/>
    <w:rsid w:val="00940BBF"/>
    <w:rsid w:val="00941255"/>
    <w:rsid w:val="0094162B"/>
    <w:rsid w:val="00941843"/>
    <w:rsid w:val="00942368"/>
    <w:rsid w:val="009433BC"/>
    <w:rsid w:val="0094380A"/>
    <w:rsid w:val="00944530"/>
    <w:rsid w:val="00944876"/>
    <w:rsid w:val="00944CBC"/>
    <w:rsid w:val="0094525D"/>
    <w:rsid w:val="0094552F"/>
    <w:rsid w:val="00945ED3"/>
    <w:rsid w:val="00947028"/>
    <w:rsid w:val="0094786E"/>
    <w:rsid w:val="00947A01"/>
    <w:rsid w:val="00950950"/>
    <w:rsid w:val="00950EE5"/>
    <w:rsid w:val="00951204"/>
    <w:rsid w:val="0095141B"/>
    <w:rsid w:val="009517CA"/>
    <w:rsid w:val="00952D33"/>
    <w:rsid w:val="0095353C"/>
    <w:rsid w:val="00953D93"/>
    <w:rsid w:val="00954485"/>
    <w:rsid w:val="009544BB"/>
    <w:rsid w:val="00954A0C"/>
    <w:rsid w:val="009552F3"/>
    <w:rsid w:val="00955AA6"/>
    <w:rsid w:val="00955C81"/>
    <w:rsid w:val="00955F25"/>
    <w:rsid w:val="00957CEF"/>
    <w:rsid w:val="00960B47"/>
    <w:rsid w:val="00962BBD"/>
    <w:rsid w:val="0096378F"/>
    <w:rsid w:val="00964E1D"/>
    <w:rsid w:val="00965272"/>
    <w:rsid w:val="00965D27"/>
    <w:rsid w:val="00966663"/>
    <w:rsid w:val="00966D62"/>
    <w:rsid w:val="0096746C"/>
    <w:rsid w:val="0096773B"/>
    <w:rsid w:val="00967868"/>
    <w:rsid w:val="00967CA1"/>
    <w:rsid w:val="00967FAE"/>
    <w:rsid w:val="00970BCD"/>
    <w:rsid w:val="009717DC"/>
    <w:rsid w:val="0097195F"/>
    <w:rsid w:val="00971A2C"/>
    <w:rsid w:val="009720F9"/>
    <w:rsid w:val="009721E6"/>
    <w:rsid w:val="009728B6"/>
    <w:rsid w:val="00972A1C"/>
    <w:rsid w:val="00973707"/>
    <w:rsid w:val="009737BB"/>
    <w:rsid w:val="00973973"/>
    <w:rsid w:val="00973B8E"/>
    <w:rsid w:val="00974150"/>
    <w:rsid w:val="009742FC"/>
    <w:rsid w:val="00974B2F"/>
    <w:rsid w:val="00974E3F"/>
    <w:rsid w:val="00974F0C"/>
    <w:rsid w:val="00975344"/>
    <w:rsid w:val="00975CA2"/>
    <w:rsid w:val="00975F7F"/>
    <w:rsid w:val="009769DE"/>
    <w:rsid w:val="00976BA2"/>
    <w:rsid w:val="00977321"/>
    <w:rsid w:val="00980330"/>
    <w:rsid w:val="009807C6"/>
    <w:rsid w:val="00980D92"/>
    <w:rsid w:val="009812DE"/>
    <w:rsid w:val="00981540"/>
    <w:rsid w:val="0098182F"/>
    <w:rsid w:val="0098245F"/>
    <w:rsid w:val="009838E2"/>
    <w:rsid w:val="00984A5C"/>
    <w:rsid w:val="00984C90"/>
    <w:rsid w:val="00985397"/>
    <w:rsid w:val="00985B99"/>
    <w:rsid w:val="0098605E"/>
    <w:rsid w:val="009864D4"/>
    <w:rsid w:val="00986D41"/>
    <w:rsid w:val="00986FA9"/>
    <w:rsid w:val="0098757C"/>
    <w:rsid w:val="0098778D"/>
    <w:rsid w:val="00987BED"/>
    <w:rsid w:val="00990001"/>
    <w:rsid w:val="00991982"/>
    <w:rsid w:val="00991C37"/>
    <w:rsid w:val="00991D59"/>
    <w:rsid w:val="009921F0"/>
    <w:rsid w:val="00992254"/>
    <w:rsid w:val="0099270E"/>
    <w:rsid w:val="00993945"/>
    <w:rsid w:val="00993B8B"/>
    <w:rsid w:val="00995A7F"/>
    <w:rsid w:val="00995B12"/>
    <w:rsid w:val="00995F08"/>
    <w:rsid w:val="0099694B"/>
    <w:rsid w:val="00996F5E"/>
    <w:rsid w:val="009A0C4E"/>
    <w:rsid w:val="009A1317"/>
    <w:rsid w:val="009A1662"/>
    <w:rsid w:val="009A1A9B"/>
    <w:rsid w:val="009A2864"/>
    <w:rsid w:val="009A2E43"/>
    <w:rsid w:val="009A383C"/>
    <w:rsid w:val="009A3874"/>
    <w:rsid w:val="009A4094"/>
    <w:rsid w:val="009A4399"/>
    <w:rsid w:val="009A455A"/>
    <w:rsid w:val="009A47E2"/>
    <w:rsid w:val="009A4B3E"/>
    <w:rsid w:val="009A5B8F"/>
    <w:rsid w:val="009A6265"/>
    <w:rsid w:val="009A6E08"/>
    <w:rsid w:val="009A7A38"/>
    <w:rsid w:val="009B09F5"/>
    <w:rsid w:val="009B0E38"/>
    <w:rsid w:val="009B169B"/>
    <w:rsid w:val="009B25C7"/>
    <w:rsid w:val="009B355E"/>
    <w:rsid w:val="009B4D6A"/>
    <w:rsid w:val="009B511B"/>
    <w:rsid w:val="009B526D"/>
    <w:rsid w:val="009B57E3"/>
    <w:rsid w:val="009B591B"/>
    <w:rsid w:val="009B5985"/>
    <w:rsid w:val="009B627A"/>
    <w:rsid w:val="009B688D"/>
    <w:rsid w:val="009B6CE4"/>
    <w:rsid w:val="009B79D8"/>
    <w:rsid w:val="009C001E"/>
    <w:rsid w:val="009C083D"/>
    <w:rsid w:val="009C18D4"/>
    <w:rsid w:val="009C1D2C"/>
    <w:rsid w:val="009C2C58"/>
    <w:rsid w:val="009C3801"/>
    <w:rsid w:val="009C3D16"/>
    <w:rsid w:val="009C3DD6"/>
    <w:rsid w:val="009C4291"/>
    <w:rsid w:val="009C42EE"/>
    <w:rsid w:val="009C43C7"/>
    <w:rsid w:val="009C44E7"/>
    <w:rsid w:val="009C4702"/>
    <w:rsid w:val="009C5582"/>
    <w:rsid w:val="009C5B86"/>
    <w:rsid w:val="009C68BF"/>
    <w:rsid w:val="009C7899"/>
    <w:rsid w:val="009C7D6A"/>
    <w:rsid w:val="009D30AF"/>
    <w:rsid w:val="009D3244"/>
    <w:rsid w:val="009D35F8"/>
    <w:rsid w:val="009D433D"/>
    <w:rsid w:val="009D50E7"/>
    <w:rsid w:val="009D54C4"/>
    <w:rsid w:val="009D5501"/>
    <w:rsid w:val="009D5D1A"/>
    <w:rsid w:val="009D5D37"/>
    <w:rsid w:val="009D6EDB"/>
    <w:rsid w:val="009D7A90"/>
    <w:rsid w:val="009E0E82"/>
    <w:rsid w:val="009E20D4"/>
    <w:rsid w:val="009E283E"/>
    <w:rsid w:val="009E2BBD"/>
    <w:rsid w:val="009E34EB"/>
    <w:rsid w:val="009E402A"/>
    <w:rsid w:val="009E42EE"/>
    <w:rsid w:val="009E4A27"/>
    <w:rsid w:val="009E4FA0"/>
    <w:rsid w:val="009E563E"/>
    <w:rsid w:val="009E5CC6"/>
    <w:rsid w:val="009E5DCC"/>
    <w:rsid w:val="009E655E"/>
    <w:rsid w:val="009E718A"/>
    <w:rsid w:val="009E74E3"/>
    <w:rsid w:val="009E7D0C"/>
    <w:rsid w:val="009E7D4D"/>
    <w:rsid w:val="009E7DDE"/>
    <w:rsid w:val="009F0653"/>
    <w:rsid w:val="009F07A4"/>
    <w:rsid w:val="009F09F5"/>
    <w:rsid w:val="009F1084"/>
    <w:rsid w:val="009F1550"/>
    <w:rsid w:val="009F19E9"/>
    <w:rsid w:val="009F1C9B"/>
    <w:rsid w:val="009F1F3F"/>
    <w:rsid w:val="009F2B54"/>
    <w:rsid w:val="009F362C"/>
    <w:rsid w:val="009F3AD0"/>
    <w:rsid w:val="009F3BF5"/>
    <w:rsid w:val="009F45B7"/>
    <w:rsid w:val="009F5262"/>
    <w:rsid w:val="009F56A9"/>
    <w:rsid w:val="009F6C1E"/>
    <w:rsid w:val="009F78B4"/>
    <w:rsid w:val="009F7C08"/>
    <w:rsid w:val="009F7E97"/>
    <w:rsid w:val="009F7EB0"/>
    <w:rsid w:val="00A00A5D"/>
    <w:rsid w:val="00A01C72"/>
    <w:rsid w:val="00A0239C"/>
    <w:rsid w:val="00A02850"/>
    <w:rsid w:val="00A03381"/>
    <w:rsid w:val="00A03C89"/>
    <w:rsid w:val="00A03DC9"/>
    <w:rsid w:val="00A045D1"/>
    <w:rsid w:val="00A0483F"/>
    <w:rsid w:val="00A04CFA"/>
    <w:rsid w:val="00A06A11"/>
    <w:rsid w:val="00A074F9"/>
    <w:rsid w:val="00A07646"/>
    <w:rsid w:val="00A07F63"/>
    <w:rsid w:val="00A10C90"/>
    <w:rsid w:val="00A11C6E"/>
    <w:rsid w:val="00A12B66"/>
    <w:rsid w:val="00A12BD5"/>
    <w:rsid w:val="00A1332A"/>
    <w:rsid w:val="00A135CD"/>
    <w:rsid w:val="00A136CD"/>
    <w:rsid w:val="00A14679"/>
    <w:rsid w:val="00A146AC"/>
    <w:rsid w:val="00A159E2"/>
    <w:rsid w:val="00A15B5B"/>
    <w:rsid w:val="00A16FFF"/>
    <w:rsid w:val="00A17D1F"/>
    <w:rsid w:val="00A201CF"/>
    <w:rsid w:val="00A20B73"/>
    <w:rsid w:val="00A20BEC"/>
    <w:rsid w:val="00A21489"/>
    <w:rsid w:val="00A2220F"/>
    <w:rsid w:val="00A22C57"/>
    <w:rsid w:val="00A232F8"/>
    <w:rsid w:val="00A24751"/>
    <w:rsid w:val="00A248E2"/>
    <w:rsid w:val="00A25059"/>
    <w:rsid w:val="00A26662"/>
    <w:rsid w:val="00A2674E"/>
    <w:rsid w:val="00A274E7"/>
    <w:rsid w:val="00A2757B"/>
    <w:rsid w:val="00A27943"/>
    <w:rsid w:val="00A27BBC"/>
    <w:rsid w:val="00A3095B"/>
    <w:rsid w:val="00A30C4C"/>
    <w:rsid w:val="00A31125"/>
    <w:rsid w:val="00A320B1"/>
    <w:rsid w:val="00A325F5"/>
    <w:rsid w:val="00A33695"/>
    <w:rsid w:val="00A33C55"/>
    <w:rsid w:val="00A34026"/>
    <w:rsid w:val="00A34111"/>
    <w:rsid w:val="00A35675"/>
    <w:rsid w:val="00A369B8"/>
    <w:rsid w:val="00A369C3"/>
    <w:rsid w:val="00A3754F"/>
    <w:rsid w:val="00A37988"/>
    <w:rsid w:val="00A37A04"/>
    <w:rsid w:val="00A37AB8"/>
    <w:rsid w:val="00A402A3"/>
    <w:rsid w:val="00A402A8"/>
    <w:rsid w:val="00A40918"/>
    <w:rsid w:val="00A40DCA"/>
    <w:rsid w:val="00A41661"/>
    <w:rsid w:val="00A41740"/>
    <w:rsid w:val="00A4281F"/>
    <w:rsid w:val="00A4309F"/>
    <w:rsid w:val="00A4319E"/>
    <w:rsid w:val="00A43695"/>
    <w:rsid w:val="00A44410"/>
    <w:rsid w:val="00A46C33"/>
    <w:rsid w:val="00A47285"/>
    <w:rsid w:val="00A50EB7"/>
    <w:rsid w:val="00A51AA9"/>
    <w:rsid w:val="00A5203F"/>
    <w:rsid w:val="00A5221E"/>
    <w:rsid w:val="00A524B3"/>
    <w:rsid w:val="00A525A9"/>
    <w:rsid w:val="00A52DCF"/>
    <w:rsid w:val="00A53185"/>
    <w:rsid w:val="00A532F5"/>
    <w:rsid w:val="00A53C11"/>
    <w:rsid w:val="00A53C17"/>
    <w:rsid w:val="00A5427A"/>
    <w:rsid w:val="00A5527A"/>
    <w:rsid w:val="00A55F29"/>
    <w:rsid w:val="00A564EB"/>
    <w:rsid w:val="00A56F0F"/>
    <w:rsid w:val="00A60195"/>
    <w:rsid w:val="00A6322C"/>
    <w:rsid w:val="00A6394C"/>
    <w:rsid w:val="00A64421"/>
    <w:rsid w:val="00A648C2"/>
    <w:rsid w:val="00A65050"/>
    <w:rsid w:val="00A65482"/>
    <w:rsid w:val="00A65FAB"/>
    <w:rsid w:val="00A6683C"/>
    <w:rsid w:val="00A66DBD"/>
    <w:rsid w:val="00A66EC6"/>
    <w:rsid w:val="00A6706B"/>
    <w:rsid w:val="00A672A8"/>
    <w:rsid w:val="00A675D9"/>
    <w:rsid w:val="00A700A3"/>
    <w:rsid w:val="00A70159"/>
    <w:rsid w:val="00A70245"/>
    <w:rsid w:val="00A707F3"/>
    <w:rsid w:val="00A7217D"/>
    <w:rsid w:val="00A72DF3"/>
    <w:rsid w:val="00A73282"/>
    <w:rsid w:val="00A7376F"/>
    <w:rsid w:val="00A73A26"/>
    <w:rsid w:val="00A74B40"/>
    <w:rsid w:val="00A74D8D"/>
    <w:rsid w:val="00A751A0"/>
    <w:rsid w:val="00A75338"/>
    <w:rsid w:val="00A76381"/>
    <w:rsid w:val="00A76868"/>
    <w:rsid w:val="00A772B4"/>
    <w:rsid w:val="00A774C1"/>
    <w:rsid w:val="00A779E9"/>
    <w:rsid w:val="00A77C90"/>
    <w:rsid w:val="00A801A9"/>
    <w:rsid w:val="00A8092A"/>
    <w:rsid w:val="00A80A02"/>
    <w:rsid w:val="00A80C2E"/>
    <w:rsid w:val="00A81DA8"/>
    <w:rsid w:val="00A8279E"/>
    <w:rsid w:val="00A8286E"/>
    <w:rsid w:val="00A82F95"/>
    <w:rsid w:val="00A8318E"/>
    <w:rsid w:val="00A831AC"/>
    <w:rsid w:val="00A839C8"/>
    <w:rsid w:val="00A840BE"/>
    <w:rsid w:val="00A840D5"/>
    <w:rsid w:val="00A85131"/>
    <w:rsid w:val="00A85526"/>
    <w:rsid w:val="00A85CE0"/>
    <w:rsid w:val="00A85E91"/>
    <w:rsid w:val="00A85FE5"/>
    <w:rsid w:val="00A86139"/>
    <w:rsid w:val="00A86EB4"/>
    <w:rsid w:val="00A90BDF"/>
    <w:rsid w:val="00A92BF8"/>
    <w:rsid w:val="00A92CFF"/>
    <w:rsid w:val="00A92F0D"/>
    <w:rsid w:val="00A94F5F"/>
    <w:rsid w:val="00A94FBC"/>
    <w:rsid w:val="00A95150"/>
    <w:rsid w:val="00A9559C"/>
    <w:rsid w:val="00A95FD0"/>
    <w:rsid w:val="00A96300"/>
    <w:rsid w:val="00A96512"/>
    <w:rsid w:val="00A9676E"/>
    <w:rsid w:val="00A9797B"/>
    <w:rsid w:val="00A97C62"/>
    <w:rsid w:val="00A97DCA"/>
    <w:rsid w:val="00AA02BE"/>
    <w:rsid w:val="00AA0F32"/>
    <w:rsid w:val="00AA1619"/>
    <w:rsid w:val="00AA1B66"/>
    <w:rsid w:val="00AA3189"/>
    <w:rsid w:val="00AA36EB"/>
    <w:rsid w:val="00AA38C2"/>
    <w:rsid w:val="00AA629F"/>
    <w:rsid w:val="00AA63BD"/>
    <w:rsid w:val="00AA6A66"/>
    <w:rsid w:val="00AA72D7"/>
    <w:rsid w:val="00AA7658"/>
    <w:rsid w:val="00AB01A1"/>
    <w:rsid w:val="00AB0412"/>
    <w:rsid w:val="00AB0885"/>
    <w:rsid w:val="00AB1C4B"/>
    <w:rsid w:val="00AB2389"/>
    <w:rsid w:val="00AB2825"/>
    <w:rsid w:val="00AB2C97"/>
    <w:rsid w:val="00AB2F46"/>
    <w:rsid w:val="00AB308F"/>
    <w:rsid w:val="00AB35D5"/>
    <w:rsid w:val="00AB393F"/>
    <w:rsid w:val="00AB3FE1"/>
    <w:rsid w:val="00AB4E51"/>
    <w:rsid w:val="00AB5C94"/>
    <w:rsid w:val="00AB63E5"/>
    <w:rsid w:val="00AB6610"/>
    <w:rsid w:val="00AB67AA"/>
    <w:rsid w:val="00AB6846"/>
    <w:rsid w:val="00AB7835"/>
    <w:rsid w:val="00AB7B8D"/>
    <w:rsid w:val="00AB7EF6"/>
    <w:rsid w:val="00AC06B8"/>
    <w:rsid w:val="00AC0AE8"/>
    <w:rsid w:val="00AC0B1B"/>
    <w:rsid w:val="00AC0C9F"/>
    <w:rsid w:val="00AC0F2C"/>
    <w:rsid w:val="00AC14E2"/>
    <w:rsid w:val="00AC1F38"/>
    <w:rsid w:val="00AC3054"/>
    <w:rsid w:val="00AC3386"/>
    <w:rsid w:val="00AC4274"/>
    <w:rsid w:val="00AC4299"/>
    <w:rsid w:val="00AC4E3A"/>
    <w:rsid w:val="00AC5975"/>
    <w:rsid w:val="00AC5D72"/>
    <w:rsid w:val="00AC5F45"/>
    <w:rsid w:val="00AC6255"/>
    <w:rsid w:val="00AC654C"/>
    <w:rsid w:val="00AC6570"/>
    <w:rsid w:val="00AC6619"/>
    <w:rsid w:val="00AC7107"/>
    <w:rsid w:val="00AC743D"/>
    <w:rsid w:val="00AD005D"/>
    <w:rsid w:val="00AD061B"/>
    <w:rsid w:val="00AD07FC"/>
    <w:rsid w:val="00AD0B59"/>
    <w:rsid w:val="00AD0C6F"/>
    <w:rsid w:val="00AD12C5"/>
    <w:rsid w:val="00AD1A08"/>
    <w:rsid w:val="00AD1A6C"/>
    <w:rsid w:val="00AD2886"/>
    <w:rsid w:val="00AD2B53"/>
    <w:rsid w:val="00AD3710"/>
    <w:rsid w:val="00AD44C5"/>
    <w:rsid w:val="00AD4571"/>
    <w:rsid w:val="00AD70F1"/>
    <w:rsid w:val="00AD71C5"/>
    <w:rsid w:val="00AD7567"/>
    <w:rsid w:val="00AD7970"/>
    <w:rsid w:val="00AE0C1B"/>
    <w:rsid w:val="00AE141F"/>
    <w:rsid w:val="00AE1CD7"/>
    <w:rsid w:val="00AE247D"/>
    <w:rsid w:val="00AE3D79"/>
    <w:rsid w:val="00AE4020"/>
    <w:rsid w:val="00AE79F2"/>
    <w:rsid w:val="00AE7CD3"/>
    <w:rsid w:val="00AF003B"/>
    <w:rsid w:val="00AF07E2"/>
    <w:rsid w:val="00AF1037"/>
    <w:rsid w:val="00AF1E50"/>
    <w:rsid w:val="00AF1F57"/>
    <w:rsid w:val="00AF2910"/>
    <w:rsid w:val="00AF3C10"/>
    <w:rsid w:val="00AF3C69"/>
    <w:rsid w:val="00AF3D7A"/>
    <w:rsid w:val="00AF3E33"/>
    <w:rsid w:val="00AF4023"/>
    <w:rsid w:val="00AF4ED2"/>
    <w:rsid w:val="00AF5506"/>
    <w:rsid w:val="00AF61D0"/>
    <w:rsid w:val="00AF6219"/>
    <w:rsid w:val="00AF62BC"/>
    <w:rsid w:val="00AF672F"/>
    <w:rsid w:val="00AF6F2C"/>
    <w:rsid w:val="00AF7FA5"/>
    <w:rsid w:val="00B00262"/>
    <w:rsid w:val="00B006E9"/>
    <w:rsid w:val="00B0115C"/>
    <w:rsid w:val="00B01163"/>
    <w:rsid w:val="00B024AD"/>
    <w:rsid w:val="00B024D7"/>
    <w:rsid w:val="00B03014"/>
    <w:rsid w:val="00B030EA"/>
    <w:rsid w:val="00B03CD3"/>
    <w:rsid w:val="00B048F1"/>
    <w:rsid w:val="00B049B4"/>
    <w:rsid w:val="00B04BAE"/>
    <w:rsid w:val="00B04D23"/>
    <w:rsid w:val="00B057CA"/>
    <w:rsid w:val="00B05FDA"/>
    <w:rsid w:val="00B067DE"/>
    <w:rsid w:val="00B1119D"/>
    <w:rsid w:val="00B11505"/>
    <w:rsid w:val="00B11D0D"/>
    <w:rsid w:val="00B12271"/>
    <w:rsid w:val="00B12E10"/>
    <w:rsid w:val="00B12EA6"/>
    <w:rsid w:val="00B13C78"/>
    <w:rsid w:val="00B13F06"/>
    <w:rsid w:val="00B14047"/>
    <w:rsid w:val="00B14253"/>
    <w:rsid w:val="00B145A2"/>
    <w:rsid w:val="00B14842"/>
    <w:rsid w:val="00B1489B"/>
    <w:rsid w:val="00B15280"/>
    <w:rsid w:val="00B15761"/>
    <w:rsid w:val="00B15DB6"/>
    <w:rsid w:val="00B15F2D"/>
    <w:rsid w:val="00B17100"/>
    <w:rsid w:val="00B171C0"/>
    <w:rsid w:val="00B17999"/>
    <w:rsid w:val="00B20317"/>
    <w:rsid w:val="00B20E5D"/>
    <w:rsid w:val="00B212C5"/>
    <w:rsid w:val="00B21DE2"/>
    <w:rsid w:val="00B21E50"/>
    <w:rsid w:val="00B220B6"/>
    <w:rsid w:val="00B22110"/>
    <w:rsid w:val="00B22E27"/>
    <w:rsid w:val="00B23005"/>
    <w:rsid w:val="00B23A34"/>
    <w:rsid w:val="00B23BE1"/>
    <w:rsid w:val="00B267A1"/>
    <w:rsid w:val="00B26927"/>
    <w:rsid w:val="00B27FEE"/>
    <w:rsid w:val="00B30046"/>
    <w:rsid w:val="00B30336"/>
    <w:rsid w:val="00B30A1C"/>
    <w:rsid w:val="00B30B13"/>
    <w:rsid w:val="00B31D8A"/>
    <w:rsid w:val="00B320ED"/>
    <w:rsid w:val="00B32341"/>
    <w:rsid w:val="00B32AFB"/>
    <w:rsid w:val="00B33B48"/>
    <w:rsid w:val="00B34001"/>
    <w:rsid w:val="00B34B0B"/>
    <w:rsid w:val="00B34B77"/>
    <w:rsid w:val="00B34DD6"/>
    <w:rsid w:val="00B35F80"/>
    <w:rsid w:val="00B3602B"/>
    <w:rsid w:val="00B36BA6"/>
    <w:rsid w:val="00B36EAA"/>
    <w:rsid w:val="00B408A5"/>
    <w:rsid w:val="00B4162D"/>
    <w:rsid w:val="00B4177D"/>
    <w:rsid w:val="00B42941"/>
    <w:rsid w:val="00B431BD"/>
    <w:rsid w:val="00B434F1"/>
    <w:rsid w:val="00B439B1"/>
    <w:rsid w:val="00B43C2A"/>
    <w:rsid w:val="00B43F29"/>
    <w:rsid w:val="00B4423C"/>
    <w:rsid w:val="00B442BD"/>
    <w:rsid w:val="00B449EB"/>
    <w:rsid w:val="00B44FD0"/>
    <w:rsid w:val="00B45022"/>
    <w:rsid w:val="00B4512A"/>
    <w:rsid w:val="00B454FC"/>
    <w:rsid w:val="00B457F2"/>
    <w:rsid w:val="00B45941"/>
    <w:rsid w:val="00B45948"/>
    <w:rsid w:val="00B459FA"/>
    <w:rsid w:val="00B45BCF"/>
    <w:rsid w:val="00B4618A"/>
    <w:rsid w:val="00B465DF"/>
    <w:rsid w:val="00B46BAF"/>
    <w:rsid w:val="00B46F04"/>
    <w:rsid w:val="00B47F0C"/>
    <w:rsid w:val="00B50194"/>
    <w:rsid w:val="00B50B0A"/>
    <w:rsid w:val="00B50D11"/>
    <w:rsid w:val="00B51CC6"/>
    <w:rsid w:val="00B51F42"/>
    <w:rsid w:val="00B522A4"/>
    <w:rsid w:val="00B52306"/>
    <w:rsid w:val="00B52872"/>
    <w:rsid w:val="00B52896"/>
    <w:rsid w:val="00B528A1"/>
    <w:rsid w:val="00B52CE6"/>
    <w:rsid w:val="00B52D27"/>
    <w:rsid w:val="00B53030"/>
    <w:rsid w:val="00B53847"/>
    <w:rsid w:val="00B53939"/>
    <w:rsid w:val="00B542AB"/>
    <w:rsid w:val="00B5657C"/>
    <w:rsid w:val="00B56F19"/>
    <w:rsid w:val="00B571F5"/>
    <w:rsid w:val="00B614BF"/>
    <w:rsid w:val="00B62635"/>
    <w:rsid w:val="00B64EB6"/>
    <w:rsid w:val="00B65598"/>
    <w:rsid w:val="00B704AB"/>
    <w:rsid w:val="00B712EE"/>
    <w:rsid w:val="00B71CD5"/>
    <w:rsid w:val="00B71DAC"/>
    <w:rsid w:val="00B72E87"/>
    <w:rsid w:val="00B72E9F"/>
    <w:rsid w:val="00B730C7"/>
    <w:rsid w:val="00B734C4"/>
    <w:rsid w:val="00B7350E"/>
    <w:rsid w:val="00B746CC"/>
    <w:rsid w:val="00B74792"/>
    <w:rsid w:val="00B74827"/>
    <w:rsid w:val="00B7583B"/>
    <w:rsid w:val="00B759BA"/>
    <w:rsid w:val="00B77A2C"/>
    <w:rsid w:val="00B77AAD"/>
    <w:rsid w:val="00B80B4B"/>
    <w:rsid w:val="00B811B0"/>
    <w:rsid w:val="00B814CA"/>
    <w:rsid w:val="00B816A3"/>
    <w:rsid w:val="00B821F9"/>
    <w:rsid w:val="00B822A4"/>
    <w:rsid w:val="00B828CC"/>
    <w:rsid w:val="00B83834"/>
    <w:rsid w:val="00B83DDE"/>
    <w:rsid w:val="00B846EC"/>
    <w:rsid w:val="00B84DD0"/>
    <w:rsid w:val="00B8560C"/>
    <w:rsid w:val="00B856D5"/>
    <w:rsid w:val="00B8575F"/>
    <w:rsid w:val="00B85B8C"/>
    <w:rsid w:val="00B85E2F"/>
    <w:rsid w:val="00B85F61"/>
    <w:rsid w:val="00B85F75"/>
    <w:rsid w:val="00B86114"/>
    <w:rsid w:val="00B86B2D"/>
    <w:rsid w:val="00B86CA9"/>
    <w:rsid w:val="00B87417"/>
    <w:rsid w:val="00B877AB"/>
    <w:rsid w:val="00B90B8D"/>
    <w:rsid w:val="00B91440"/>
    <w:rsid w:val="00B918B1"/>
    <w:rsid w:val="00B91EE2"/>
    <w:rsid w:val="00B9269E"/>
    <w:rsid w:val="00B92AAD"/>
    <w:rsid w:val="00B92F87"/>
    <w:rsid w:val="00B93FA1"/>
    <w:rsid w:val="00B9490A"/>
    <w:rsid w:val="00B94F66"/>
    <w:rsid w:val="00B96FBD"/>
    <w:rsid w:val="00B9740B"/>
    <w:rsid w:val="00B976B5"/>
    <w:rsid w:val="00B976CF"/>
    <w:rsid w:val="00B97F1B"/>
    <w:rsid w:val="00BA05FE"/>
    <w:rsid w:val="00BA0C95"/>
    <w:rsid w:val="00BA0F9A"/>
    <w:rsid w:val="00BA118D"/>
    <w:rsid w:val="00BA19A5"/>
    <w:rsid w:val="00BA1BF6"/>
    <w:rsid w:val="00BA1C6C"/>
    <w:rsid w:val="00BA2863"/>
    <w:rsid w:val="00BA325A"/>
    <w:rsid w:val="00BA3843"/>
    <w:rsid w:val="00BA4871"/>
    <w:rsid w:val="00BA4A8E"/>
    <w:rsid w:val="00BA4F0B"/>
    <w:rsid w:val="00BA5402"/>
    <w:rsid w:val="00BA5699"/>
    <w:rsid w:val="00BA58FE"/>
    <w:rsid w:val="00BA5C1F"/>
    <w:rsid w:val="00BA6384"/>
    <w:rsid w:val="00BA6E03"/>
    <w:rsid w:val="00BA7058"/>
    <w:rsid w:val="00BA7BA9"/>
    <w:rsid w:val="00BA7CE0"/>
    <w:rsid w:val="00BB0C1F"/>
    <w:rsid w:val="00BB169C"/>
    <w:rsid w:val="00BB1DFE"/>
    <w:rsid w:val="00BB20A0"/>
    <w:rsid w:val="00BB22D4"/>
    <w:rsid w:val="00BB3AFC"/>
    <w:rsid w:val="00BB3CBE"/>
    <w:rsid w:val="00BB4174"/>
    <w:rsid w:val="00BB50BB"/>
    <w:rsid w:val="00BB568E"/>
    <w:rsid w:val="00BB5AB0"/>
    <w:rsid w:val="00BB5B5D"/>
    <w:rsid w:val="00BB6397"/>
    <w:rsid w:val="00BB6B9C"/>
    <w:rsid w:val="00BB6CDC"/>
    <w:rsid w:val="00BB7260"/>
    <w:rsid w:val="00BB73C8"/>
    <w:rsid w:val="00BB7E19"/>
    <w:rsid w:val="00BC068F"/>
    <w:rsid w:val="00BC0A7F"/>
    <w:rsid w:val="00BC1220"/>
    <w:rsid w:val="00BC1DCA"/>
    <w:rsid w:val="00BC2C58"/>
    <w:rsid w:val="00BC3A29"/>
    <w:rsid w:val="00BC3F13"/>
    <w:rsid w:val="00BC40B5"/>
    <w:rsid w:val="00BC41EE"/>
    <w:rsid w:val="00BC43FD"/>
    <w:rsid w:val="00BC47BF"/>
    <w:rsid w:val="00BC4F1C"/>
    <w:rsid w:val="00BC51F5"/>
    <w:rsid w:val="00BC5ECA"/>
    <w:rsid w:val="00BC61CD"/>
    <w:rsid w:val="00BC61F2"/>
    <w:rsid w:val="00BC67C0"/>
    <w:rsid w:val="00BC6F32"/>
    <w:rsid w:val="00BC6F41"/>
    <w:rsid w:val="00BC711C"/>
    <w:rsid w:val="00BC7165"/>
    <w:rsid w:val="00BC7166"/>
    <w:rsid w:val="00BC793E"/>
    <w:rsid w:val="00BC7E64"/>
    <w:rsid w:val="00BD0AF7"/>
    <w:rsid w:val="00BD1270"/>
    <w:rsid w:val="00BD1379"/>
    <w:rsid w:val="00BD2FE7"/>
    <w:rsid w:val="00BD36DE"/>
    <w:rsid w:val="00BD39D2"/>
    <w:rsid w:val="00BD4E13"/>
    <w:rsid w:val="00BD52C3"/>
    <w:rsid w:val="00BD5485"/>
    <w:rsid w:val="00BD5F43"/>
    <w:rsid w:val="00BD661B"/>
    <w:rsid w:val="00BD687C"/>
    <w:rsid w:val="00BD6DB9"/>
    <w:rsid w:val="00BD75D1"/>
    <w:rsid w:val="00BE0363"/>
    <w:rsid w:val="00BE0A45"/>
    <w:rsid w:val="00BE0BDD"/>
    <w:rsid w:val="00BE1233"/>
    <w:rsid w:val="00BE1277"/>
    <w:rsid w:val="00BE1311"/>
    <w:rsid w:val="00BE19C2"/>
    <w:rsid w:val="00BE358B"/>
    <w:rsid w:val="00BE4109"/>
    <w:rsid w:val="00BE447B"/>
    <w:rsid w:val="00BE4569"/>
    <w:rsid w:val="00BE4782"/>
    <w:rsid w:val="00BE47D8"/>
    <w:rsid w:val="00BE4FD9"/>
    <w:rsid w:val="00BE57DA"/>
    <w:rsid w:val="00BE5D73"/>
    <w:rsid w:val="00BE6DFE"/>
    <w:rsid w:val="00BE79AB"/>
    <w:rsid w:val="00BF0637"/>
    <w:rsid w:val="00BF124A"/>
    <w:rsid w:val="00BF160C"/>
    <w:rsid w:val="00BF1D5A"/>
    <w:rsid w:val="00BF37A9"/>
    <w:rsid w:val="00BF3C23"/>
    <w:rsid w:val="00BF4770"/>
    <w:rsid w:val="00BF513A"/>
    <w:rsid w:val="00BF540A"/>
    <w:rsid w:val="00BF6036"/>
    <w:rsid w:val="00BF67D7"/>
    <w:rsid w:val="00BF69D2"/>
    <w:rsid w:val="00BF6EB4"/>
    <w:rsid w:val="00BF6EC1"/>
    <w:rsid w:val="00BF7257"/>
    <w:rsid w:val="00BF7347"/>
    <w:rsid w:val="00BF7B94"/>
    <w:rsid w:val="00BF7C53"/>
    <w:rsid w:val="00C017D1"/>
    <w:rsid w:val="00C029BC"/>
    <w:rsid w:val="00C030A6"/>
    <w:rsid w:val="00C047D7"/>
    <w:rsid w:val="00C04D37"/>
    <w:rsid w:val="00C05941"/>
    <w:rsid w:val="00C0657C"/>
    <w:rsid w:val="00C074C4"/>
    <w:rsid w:val="00C079F5"/>
    <w:rsid w:val="00C10CD4"/>
    <w:rsid w:val="00C11B8D"/>
    <w:rsid w:val="00C125B0"/>
    <w:rsid w:val="00C12AE0"/>
    <w:rsid w:val="00C12F2A"/>
    <w:rsid w:val="00C12FEB"/>
    <w:rsid w:val="00C1357C"/>
    <w:rsid w:val="00C14093"/>
    <w:rsid w:val="00C140C6"/>
    <w:rsid w:val="00C144EF"/>
    <w:rsid w:val="00C1534E"/>
    <w:rsid w:val="00C17001"/>
    <w:rsid w:val="00C17EF5"/>
    <w:rsid w:val="00C20927"/>
    <w:rsid w:val="00C211DC"/>
    <w:rsid w:val="00C2135F"/>
    <w:rsid w:val="00C21AAB"/>
    <w:rsid w:val="00C233C6"/>
    <w:rsid w:val="00C23D4E"/>
    <w:rsid w:val="00C23FF2"/>
    <w:rsid w:val="00C24ED2"/>
    <w:rsid w:val="00C24F3F"/>
    <w:rsid w:val="00C255CC"/>
    <w:rsid w:val="00C25670"/>
    <w:rsid w:val="00C259E2"/>
    <w:rsid w:val="00C2636B"/>
    <w:rsid w:val="00C26754"/>
    <w:rsid w:val="00C26869"/>
    <w:rsid w:val="00C26C3A"/>
    <w:rsid w:val="00C2709D"/>
    <w:rsid w:val="00C27728"/>
    <w:rsid w:val="00C2773B"/>
    <w:rsid w:val="00C277FB"/>
    <w:rsid w:val="00C27CEA"/>
    <w:rsid w:val="00C30107"/>
    <w:rsid w:val="00C30639"/>
    <w:rsid w:val="00C306B3"/>
    <w:rsid w:val="00C306F6"/>
    <w:rsid w:val="00C3070C"/>
    <w:rsid w:val="00C309E5"/>
    <w:rsid w:val="00C30E2E"/>
    <w:rsid w:val="00C311F0"/>
    <w:rsid w:val="00C3194E"/>
    <w:rsid w:val="00C31BBB"/>
    <w:rsid w:val="00C3220C"/>
    <w:rsid w:val="00C32B69"/>
    <w:rsid w:val="00C345ED"/>
    <w:rsid w:val="00C34837"/>
    <w:rsid w:val="00C348B3"/>
    <w:rsid w:val="00C34F38"/>
    <w:rsid w:val="00C3548F"/>
    <w:rsid w:val="00C356C8"/>
    <w:rsid w:val="00C367B4"/>
    <w:rsid w:val="00C36956"/>
    <w:rsid w:val="00C36B2D"/>
    <w:rsid w:val="00C37197"/>
    <w:rsid w:val="00C37615"/>
    <w:rsid w:val="00C37B29"/>
    <w:rsid w:val="00C37CB7"/>
    <w:rsid w:val="00C40D60"/>
    <w:rsid w:val="00C43A7D"/>
    <w:rsid w:val="00C4425F"/>
    <w:rsid w:val="00C44320"/>
    <w:rsid w:val="00C44421"/>
    <w:rsid w:val="00C44A04"/>
    <w:rsid w:val="00C44C83"/>
    <w:rsid w:val="00C44D1A"/>
    <w:rsid w:val="00C4623C"/>
    <w:rsid w:val="00C462A9"/>
    <w:rsid w:val="00C46DB1"/>
    <w:rsid w:val="00C4706F"/>
    <w:rsid w:val="00C47BD3"/>
    <w:rsid w:val="00C47E57"/>
    <w:rsid w:val="00C504D3"/>
    <w:rsid w:val="00C5267A"/>
    <w:rsid w:val="00C53160"/>
    <w:rsid w:val="00C536B3"/>
    <w:rsid w:val="00C53B22"/>
    <w:rsid w:val="00C53C3F"/>
    <w:rsid w:val="00C53C4E"/>
    <w:rsid w:val="00C542A9"/>
    <w:rsid w:val="00C54763"/>
    <w:rsid w:val="00C55547"/>
    <w:rsid w:val="00C55649"/>
    <w:rsid w:val="00C563A1"/>
    <w:rsid w:val="00C56DBA"/>
    <w:rsid w:val="00C576F8"/>
    <w:rsid w:val="00C57A57"/>
    <w:rsid w:val="00C57F07"/>
    <w:rsid w:val="00C604F5"/>
    <w:rsid w:val="00C61336"/>
    <w:rsid w:val="00C61583"/>
    <w:rsid w:val="00C61FF5"/>
    <w:rsid w:val="00C6238A"/>
    <w:rsid w:val="00C62CD3"/>
    <w:rsid w:val="00C62DC8"/>
    <w:rsid w:val="00C635CF"/>
    <w:rsid w:val="00C635FD"/>
    <w:rsid w:val="00C64027"/>
    <w:rsid w:val="00C66473"/>
    <w:rsid w:val="00C67004"/>
    <w:rsid w:val="00C67957"/>
    <w:rsid w:val="00C679E4"/>
    <w:rsid w:val="00C7073E"/>
    <w:rsid w:val="00C707EE"/>
    <w:rsid w:val="00C7103D"/>
    <w:rsid w:val="00C71514"/>
    <w:rsid w:val="00C717C8"/>
    <w:rsid w:val="00C7187C"/>
    <w:rsid w:val="00C71AF2"/>
    <w:rsid w:val="00C71B86"/>
    <w:rsid w:val="00C71C39"/>
    <w:rsid w:val="00C71D62"/>
    <w:rsid w:val="00C723EA"/>
    <w:rsid w:val="00C731CE"/>
    <w:rsid w:val="00C747DC"/>
    <w:rsid w:val="00C757B4"/>
    <w:rsid w:val="00C75AE2"/>
    <w:rsid w:val="00C76804"/>
    <w:rsid w:val="00C76E4A"/>
    <w:rsid w:val="00C800A3"/>
    <w:rsid w:val="00C80731"/>
    <w:rsid w:val="00C80811"/>
    <w:rsid w:val="00C81C8B"/>
    <w:rsid w:val="00C82F83"/>
    <w:rsid w:val="00C839AF"/>
    <w:rsid w:val="00C84BAF"/>
    <w:rsid w:val="00C84C64"/>
    <w:rsid w:val="00C8571F"/>
    <w:rsid w:val="00C85EAB"/>
    <w:rsid w:val="00C863A3"/>
    <w:rsid w:val="00C86B79"/>
    <w:rsid w:val="00C87C87"/>
    <w:rsid w:val="00C87CEE"/>
    <w:rsid w:val="00C87DA4"/>
    <w:rsid w:val="00C9009E"/>
    <w:rsid w:val="00C90199"/>
    <w:rsid w:val="00C91042"/>
    <w:rsid w:val="00C917B0"/>
    <w:rsid w:val="00C91D08"/>
    <w:rsid w:val="00C91DC9"/>
    <w:rsid w:val="00C92CA2"/>
    <w:rsid w:val="00C93697"/>
    <w:rsid w:val="00C93FC2"/>
    <w:rsid w:val="00C941FF"/>
    <w:rsid w:val="00C94812"/>
    <w:rsid w:val="00C94AFD"/>
    <w:rsid w:val="00C95414"/>
    <w:rsid w:val="00C95E48"/>
    <w:rsid w:val="00C960CE"/>
    <w:rsid w:val="00C965D8"/>
    <w:rsid w:val="00C9673B"/>
    <w:rsid w:val="00C96D0C"/>
    <w:rsid w:val="00C973FB"/>
    <w:rsid w:val="00CA0856"/>
    <w:rsid w:val="00CA0C40"/>
    <w:rsid w:val="00CA126C"/>
    <w:rsid w:val="00CA13B9"/>
    <w:rsid w:val="00CA1C14"/>
    <w:rsid w:val="00CA21CA"/>
    <w:rsid w:val="00CA236C"/>
    <w:rsid w:val="00CA270D"/>
    <w:rsid w:val="00CA2E80"/>
    <w:rsid w:val="00CA2E92"/>
    <w:rsid w:val="00CA4EB2"/>
    <w:rsid w:val="00CA6135"/>
    <w:rsid w:val="00CA61EE"/>
    <w:rsid w:val="00CA6F54"/>
    <w:rsid w:val="00CB08DF"/>
    <w:rsid w:val="00CB1734"/>
    <w:rsid w:val="00CB17C4"/>
    <w:rsid w:val="00CB1F27"/>
    <w:rsid w:val="00CB256D"/>
    <w:rsid w:val="00CB29FA"/>
    <w:rsid w:val="00CB3146"/>
    <w:rsid w:val="00CB3376"/>
    <w:rsid w:val="00CB3C8D"/>
    <w:rsid w:val="00CB484B"/>
    <w:rsid w:val="00CB4E0C"/>
    <w:rsid w:val="00CB5059"/>
    <w:rsid w:val="00CB5A21"/>
    <w:rsid w:val="00CB6C8D"/>
    <w:rsid w:val="00CB7192"/>
    <w:rsid w:val="00CB7D2C"/>
    <w:rsid w:val="00CB7F46"/>
    <w:rsid w:val="00CC0068"/>
    <w:rsid w:val="00CC05F5"/>
    <w:rsid w:val="00CC112B"/>
    <w:rsid w:val="00CC2508"/>
    <w:rsid w:val="00CC26A6"/>
    <w:rsid w:val="00CC2B5B"/>
    <w:rsid w:val="00CC2F2F"/>
    <w:rsid w:val="00CC3755"/>
    <w:rsid w:val="00CC47A1"/>
    <w:rsid w:val="00CC4F4F"/>
    <w:rsid w:val="00CC4F94"/>
    <w:rsid w:val="00CC59CD"/>
    <w:rsid w:val="00CC6811"/>
    <w:rsid w:val="00CC6A7B"/>
    <w:rsid w:val="00CC7195"/>
    <w:rsid w:val="00CC73DA"/>
    <w:rsid w:val="00CD0F76"/>
    <w:rsid w:val="00CD1420"/>
    <w:rsid w:val="00CD1B30"/>
    <w:rsid w:val="00CD20AE"/>
    <w:rsid w:val="00CD295D"/>
    <w:rsid w:val="00CD2FDB"/>
    <w:rsid w:val="00CD35F2"/>
    <w:rsid w:val="00CD385E"/>
    <w:rsid w:val="00CD3F0E"/>
    <w:rsid w:val="00CD4356"/>
    <w:rsid w:val="00CD6CEB"/>
    <w:rsid w:val="00CD7623"/>
    <w:rsid w:val="00CD7D5B"/>
    <w:rsid w:val="00CD7E64"/>
    <w:rsid w:val="00CD7ED8"/>
    <w:rsid w:val="00CE0817"/>
    <w:rsid w:val="00CE1093"/>
    <w:rsid w:val="00CE2A31"/>
    <w:rsid w:val="00CE2B78"/>
    <w:rsid w:val="00CE2F44"/>
    <w:rsid w:val="00CE302F"/>
    <w:rsid w:val="00CE31F7"/>
    <w:rsid w:val="00CE3EDA"/>
    <w:rsid w:val="00CE47AF"/>
    <w:rsid w:val="00CE4BEB"/>
    <w:rsid w:val="00CE4C49"/>
    <w:rsid w:val="00CE5173"/>
    <w:rsid w:val="00CE51FF"/>
    <w:rsid w:val="00CE5491"/>
    <w:rsid w:val="00CE561A"/>
    <w:rsid w:val="00CE5754"/>
    <w:rsid w:val="00CE5ACF"/>
    <w:rsid w:val="00CE6C28"/>
    <w:rsid w:val="00CE71C8"/>
    <w:rsid w:val="00CE7221"/>
    <w:rsid w:val="00CE7815"/>
    <w:rsid w:val="00CE797B"/>
    <w:rsid w:val="00CE7F91"/>
    <w:rsid w:val="00CF0568"/>
    <w:rsid w:val="00CF1093"/>
    <w:rsid w:val="00CF156A"/>
    <w:rsid w:val="00CF206F"/>
    <w:rsid w:val="00CF2532"/>
    <w:rsid w:val="00CF2D64"/>
    <w:rsid w:val="00CF3F9C"/>
    <w:rsid w:val="00CF4C30"/>
    <w:rsid w:val="00CF5466"/>
    <w:rsid w:val="00CF5957"/>
    <w:rsid w:val="00CF64CA"/>
    <w:rsid w:val="00CF65FD"/>
    <w:rsid w:val="00CF67A9"/>
    <w:rsid w:val="00CF6B09"/>
    <w:rsid w:val="00CF6D85"/>
    <w:rsid w:val="00CF6F63"/>
    <w:rsid w:val="00D021AF"/>
    <w:rsid w:val="00D02486"/>
    <w:rsid w:val="00D024BD"/>
    <w:rsid w:val="00D02770"/>
    <w:rsid w:val="00D02E89"/>
    <w:rsid w:val="00D054C0"/>
    <w:rsid w:val="00D057A6"/>
    <w:rsid w:val="00D05A94"/>
    <w:rsid w:val="00D05C59"/>
    <w:rsid w:val="00D06F70"/>
    <w:rsid w:val="00D07EE2"/>
    <w:rsid w:val="00D10700"/>
    <w:rsid w:val="00D11D41"/>
    <w:rsid w:val="00D11E4A"/>
    <w:rsid w:val="00D11E4C"/>
    <w:rsid w:val="00D1223C"/>
    <w:rsid w:val="00D14A32"/>
    <w:rsid w:val="00D14EE0"/>
    <w:rsid w:val="00D156E6"/>
    <w:rsid w:val="00D15808"/>
    <w:rsid w:val="00D15BED"/>
    <w:rsid w:val="00D16380"/>
    <w:rsid w:val="00D1690D"/>
    <w:rsid w:val="00D16FBF"/>
    <w:rsid w:val="00D1786A"/>
    <w:rsid w:val="00D2018B"/>
    <w:rsid w:val="00D202DB"/>
    <w:rsid w:val="00D20799"/>
    <w:rsid w:val="00D209AF"/>
    <w:rsid w:val="00D20C67"/>
    <w:rsid w:val="00D212FE"/>
    <w:rsid w:val="00D21479"/>
    <w:rsid w:val="00D21548"/>
    <w:rsid w:val="00D217D6"/>
    <w:rsid w:val="00D21A7C"/>
    <w:rsid w:val="00D21B29"/>
    <w:rsid w:val="00D229AC"/>
    <w:rsid w:val="00D23C8F"/>
    <w:rsid w:val="00D2428D"/>
    <w:rsid w:val="00D24331"/>
    <w:rsid w:val="00D244BF"/>
    <w:rsid w:val="00D2506C"/>
    <w:rsid w:val="00D25ABC"/>
    <w:rsid w:val="00D25B2D"/>
    <w:rsid w:val="00D27F99"/>
    <w:rsid w:val="00D300D9"/>
    <w:rsid w:val="00D30A68"/>
    <w:rsid w:val="00D30BE6"/>
    <w:rsid w:val="00D30C04"/>
    <w:rsid w:val="00D3128F"/>
    <w:rsid w:val="00D314D5"/>
    <w:rsid w:val="00D318BC"/>
    <w:rsid w:val="00D31AC6"/>
    <w:rsid w:val="00D31C7A"/>
    <w:rsid w:val="00D32447"/>
    <w:rsid w:val="00D33AA1"/>
    <w:rsid w:val="00D33C40"/>
    <w:rsid w:val="00D3441D"/>
    <w:rsid w:val="00D34B0A"/>
    <w:rsid w:val="00D34F75"/>
    <w:rsid w:val="00D35BD5"/>
    <w:rsid w:val="00D35C30"/>
    <w:rsid w:val="00D36501"/>
    <w:rsid w:val="00D3686E"/>
    <w:rsid w:val="00D36C9B"/>
    <w:rsid w:val="00D36E21"/>
    <w:rsid w:val="00D412C0"/>
    <w:rsid w:val="00D4194D"/>
    <w:rsid w:val="00D424CA"/>
    <w:rsid w:val="00D42942"/>
    <w:rsid w:val="00D42EDE"/>
    <w:rsid w:val="00D4457C"/>
    <w:rsid w:val="00D44F8B"/>
    <w:rsid w:val="00D459E0"/>
    <w:rsid w:val="00D459F5"/>
    <w:rsid w:val="00D45B15"/>
    <w:rsid w:val="00D4645D"/>
    <w:rsid w:val="00D46C2D"/>
    <w:rsid w:val="00D47551"/>
    <w:rsid w:val="00D47CD7"/>
    <w:rsid w:val="00D504AD"/>
    <w:rsid w:val="00D51A17"/>
    <w:rsid w:val="00D52387"/>
    <w:rsid w:val="00D5285D"/>
    <w:rsid w:val="00D5292C"/>
    <w:rsid w:val="00D52A03"/>
    <w:rsid w:val="00D52FC3"/>
    <w:rsid w:val="00D52FEA"/>
    <w:rsid w:val="00D533DD"/>
    <w:rsid w:val="00D53774"/>
    <w:rsid w:val="00D5433B"/>
    <w:rsid w:val="00D548CD"/>
    <w:rsid w:val="00D54C42"/>
    <w:rsid w:val="00D550E7"/>
    <w:rsid w:val="00D556AB"/>
    <w:rsid w:val="00D55777"/>
    <w:rsid w:val="00D563FA"/>
    <w:rsid w:val="00D565B1"/>
    <w:rsid w:val="00D5667C"/>
    <w:rsid w:val="00D5668A"/>
    <w:rsid w:val="00D5689B"/>
    <w:rsid w:val="00D56AF5"/>
    <w:rsid w:val="00D57047"/>
    <w:rsid w:val="00D57780"/>
    <w:rsid w:val="00D60795"/>
    <w:rsid w:val="00D60F96"/>
    <w:rsid w:val="00D61651"/>
    <w:rsid w:val="00D618CD"/>
    <w:rsid w:val="00D6286A"/>
    <w:rsid w:val="00D634CB"/>
    <w:rsid w:val="00D645B2"/>
    <w:rsid w:val="00D6494A"/>
    <w:rsid w:val="00D64ADE"/>
    <w:rsid w:val="00D64B66"/>
    <w:rsid w:val="00D65AAB"/>
    <w:rsid w:val="00D6607A"/>
    <w:rsid w:val="00D66381"/>
    <w:rsid w:val="00D66CAA"/>
    <w:rsid w:val="00D66F87"/>
    <w:rsid w:val="00D67483"/>
    <w:rsid w:val="00D70AD1"/>
    <w:rsid w:val="00D70F07"/>
    <w:rsid w:val="00D71194"/>
    <w:rsid w:val="00D71995"/>
    <w:rsid w:val="00D7242F"/>
    <w:rsid w:val="00D731E3"/>
    <w:rsid w:val="00D73EEE"/>
    <w:rsid w:val="00D742A8"/>
    <w:rsid w:val="00D74308"/>
    <w:rsid w:val="00D75438"/>
    <w:rsid w:val="00D768D3"/>
    <w:rsid w:val="00D77799"/>
    <w:rsid w:val="00D8096D"/>
    <w:rsid w:val="00D81422"/>
    <w:rsid w:val="00D81C35"/>
    <w:rsid w:val="00D81E05"/>
    <w:rsid w:val="00D8254C"/>
    <w:rsid w:val="00D826AC"/>
    <w:rsid w:val="00D82913"/>
    <w:rsid w:val="00D82B60"/>
    <w:rsid w:val="00D82D8F"/>
    <w:rsid w:val="00D8369E"/>
    <w:rsid w:val="00D8416E"/>
    <w:rsid w:val="00D84EB7"/>
    <w:rsid w:val="00D8545A"/>
    <w:rsid w:val="00D85AC7"/>
    <w:rsid w:val="00D8617F"/>
    <w:rsid w:val="00D863DE"/>
    <w:rsid w:val="00D87007"/>
    <w:rsid w:val="00D87BAB"/>
    <w:rsid w:val="00D87F0E"/>
    <w:rsid w:val="00D90713"/>
    <w:rsid w:val="00D90BFF"/>
    <w:rsid w:val="00D92396"/>
    <w:rsid w:val="00D9362C"/>
    <w:rsid w:val="00D946DB"/>
    <w:rsid w:val="00D95045"/>
    <w:rsid w:val="00D95228"/>
    <w:rsid w:val="00D9537E"/>
    <w:rsid w:val="00D956C2"/>
    <w:rsid w:val="00D95B93"/>
    <w:rsid w:val="00D967FA"/>
    <w:rsid w:val="00D96E61"/>
    <w:rsid w:val="00DA00BC"/>
    <w:rsid w:val="00DA040A"/>
    <w:rsid w:val="00DA04E2"/>
    <w:rsid w:val="00DA0978"/>
    <w:rsid w:val="00DA0A82"/>
    <w:rsid w:val="00DA0B84"/>
    <w:rsid w:val="00DA0BDB"/>
    <w:rsid w:val="00DA0D0F"/>
    <w:rsid w:val="00DA0DB4"/>
    <w:rsid w:val="00DA0EA2"/>
    <w:rsid w:val="00DA1253"/>
    <w:rsid w:val="00DA1525"/>
    <w:rsid w:val="00DA218A"/>
    <w:rsid w:val="00DA29E7"/>
    <w:rsid w:val="00DA3B36"/>
    <w:rsid w:val="00DA3E72"/>
    <w:rsid w:val="00DA3FEB"/>
    <w:rsid w:val="00DA4727"/>
    <w:rsid w:val="00DA4A2F"/>
    <w:rsid w:val="00DA4AAA"/>
    <w:rsid w:val="00DA4AAE"/>
    <w:rsid w:val="00DA4D9D"/>
    <w:rsid w:val="00DA5B75"/>
    <w:rsid w:val="00DA6CB8"/>
    <w:rsid w:val="00DA6F0D"/>
    <w:rsid w:val="00DA77E1"/>
    <w:rsid w:val="00DA7C34"/>
    <w:rsid w:val="00DA7F01"/>
    <w:rsid w:val="00DB0274"/>
    <w:rsid w:val="00DB0F07"/>
    <w:rsid w:val="00DB1E3F"/>
    <w:rsid w:val="00DB2DD0"/>
    <w:rsid w:val="00DB3B68"/>
    <w:rsid w:val="00DB3EEA"/>
    <w:rsid w:val="00DB3F35"/>
    <w:rsid w:val="00DB40CA"/>
    <w:rsid w:val="00DB4C59"/>
    <w:rsid w:val="00DB4F40"/>
    <w:rsid w:val="00DB52C6"/>
    <w:rsid w:val="00DB5503"/>
    <w:rsid w:val="00DB61BB"/>
    <w:rsid w:val="00DB676C"/>
    <w:rsid w:val="00DC01A1"/>
    <w:rsid w:val="00DC03E0"/>
    <w:rsid w:val="00DC03F8"/>
    <w:rsid w:val="00DC0817"/>
    <w:rsid w:val="00DC09EA"/>
    <w:rsid w:val="00DC0A81"/>
    <w:rsid w:val="00DC1E40"/>
    <w:rsid w:val="00DC1FD1"/>
    <w:rsid w:val="00DC2A01"/>
    <w:rsid w:val="00DC2D05"/>
    <w:rsid w:val="00DC3A83"/>
    <w:rsid w:val="00DC3B38"/>
    <w:rsid w:val="00DC40DA"/>
    <w:rsid w:val="00DC4904"/>
    <w:rsid w:val="00DC4CE4"/>
    <w:rsid w:val="00DC5CB7"/>
    <w:rsid w:val="00DC6108"/>
    <w:rsid w:val="00DC7A04"/>
    <w:rsid w:val="00DD00B4"/>
    <w:rsid w:val="00DD07FF"/>
    <w:rsid w:val="00DD092D"/>
    <w:rsid w:val="00DD11A7"/>
    <w:rsid w:val="00DD156E"/>
    <w:rsid w:val="00DD1906"/>
    <w:rsid w:val="00DD2C1E"/>
    <w:rsid w:val="00DD41BE"/>
    <w:rsid w:val="00DD4CFC"/>
    <w:rsid w:val="00DD5EFB"/>
    <w:rsid w:val="00DD5F87"/>
    <w:rsid w:val="00DD60DF"/>
    <w:rsid w:val="00DD6BC6"/>
    <w:rsid w:val="00DD6D54"/>
    <w:rsid w:val="00DD6F35"/>
    <w:rsid w:val="00DD72AA"/>
    <w:rsid w:val="00DD7885"/>
    <w:rsid w:val="00DD791B"/>
    <w:rsid w:val="00DE0157"/>
    <w:rsid w:val="00DE0496"/>
    <w:rsid w:val="00DE07A9"/>
    <w:rsid w:val="00DE08E6"/>
    <w:rsid w:val="00DE0962"/>
    <w:rsid w:val="00DE21B5"/>
    <w:rsid w:val="00DE223B"/>
    <w:rsid w:val="00DE230A"/>
    <w:rsid w:val="00DE2370"/>
    <w:rsid w:val="00DE26F2"/>
    <w:rsid w:val="00DE3389"/>
    <w:rsid w:val="00DE4001"/>
    <w:rsid w:val="00DE489B"/>
    <w:rsid w:val="00DE48EF"/>
    <w:rsid w:val="00DE4EF2"/>
    <w:rsid w:val="00DE5504"/>
    <w:rsid w:val="00DE5752"/>
    <w:rsid w:val="00DE583B"/>
    <w:rsid w:val="00DE5A31"/>
    <w:rsid w:val="00DE73B4"/>
    <w:rsid w:val="00DE7B41"/>
    <w:rsid w:val="00DE7C81"/>
    <w:rsid w:val="00DF0BF5"/>
    <w:rsid w:val="00DF0EF2"/>
    <w:rsid w:val="00DF12C6"/>
    <w:rsid w:val="00DF1A5D"/>
    <w:rsid w:val="00DF30EB"/>
    <w:rsid w:val="00DF4F3C"/>
    <w:rsid w:val="00DF4FF2"/>
    <w:rsid w:val="00DF65DF"/>
    <w:rsid w:val="00DF70AE"/>
    <w:rsid w:val="00DF7382"/>
    <w:rsid w:val="00E00116"/>
    <w:rsid w:val="00E00AEC"/>
    <w:rsid w:val="00E0175F"/>
    <w:rsid w:val="00E01F9D"/>
    <w:rsid w:val="00E023BB"/>
    <w:rsid w:val="00E026FB"/>
    <w:rsid w:val="00E02F76"/>
    <w:rsid w:val="00E03E51"/>
    <w:rsid w:val="00E03E93"/>
    <w:rsid w:val="00E050F3"/>
    <w:rsid w:val="00E052A9"/>
    <w:rsid w:val="00E0541A"/>
    <w:rsid w:val="00E0639C"/>
    <w:rsid w:val="00E06628"/>
    <w:rsid w:val="00E06E19"/>
    <w:rsid w:val="00E07C8E"/>
    <w:rsid w:val="00E10726"/>
    <w:rsid w:val="00E10B85"/>
    <w:rsid w:val="00E11F7B"/>
    <w:rsid w:val="00E120F4"/>
    <w:rsid w:val="00E12B38"/>
    <w:rsid w:val="00E1308A"/>
    <w:rsid w:val="00E13203"/>
    <w:rsid w:val="00E132C3"/>
    <w:rsid w:val="00E1421C"/>
    <w:rsid w:val="00E143FD"/>
    <w:rsid w:val="00E14C4D"/>
    <w:rsid w:val="00E15116"/>
    <w:rsid w:val="00E16498"/>
    <w:rsid w:val="00E1685B"/>
    <w:rsid w:val="00E1696D"/>
    <w:rsid w:val="00E1750A"/>
    <w:rsid w:val="00E20553"/>
    <w:rsid w:val="00E20D20"/>
    <w:rsid w:val="00E20FAC"/>
    <w:rsid w:val="00E2178E"/>
    <w:rsid w:val="00E21A4A"/>
    <w:rsid w:val="00E22D5E"/>
    <w:rsid w:val="00E230A8"/>
    <w:rsid w:val="00E23222"/>
    <w:rsid w:val="00E2355B"/>
    <w:rsid w:val="00E237F7"/>
    <w:rsid w:val="00E23F45"/>
    <w:rsid w:val="00E2447E"/>
    <w:rsid w:val="00E249EF"/>
    <w:rsid w:val="00E25862"/>
    <w:rsid w:val="00E26CB6"/>
    <w:rsid w:val="00E2747F"/>
    <w:rsid w:val="00E2761E"/>
    <w:rsid w:val="00E27969"/>
    <w:rsid w:val="00E27ACF"/>
    <w:rsid w:val="00E302C9"/>
    <w:rsid w:val="00E30CFD"/>
    <w:rsid w:val="00E32386"/>
    <w:rsid w:val="00E3279F"/>
    <w:rsid w:val="00E32BAE"/>
    <w:rsid w:val="00E32DA2"/>
    <w:rsid w:val="00E32EE4"/>
    <w:rsid w:val="00E33BF7"/>
    <w:rsid w:val="00E340D7"/>
    <w:rsid w:val="00E34533"/>
    <w:rsid w:val="00E349F5"/>
    <w:rsid w:val="00E376DF"/>
    <w:rsid w:val="00E37761"/>
    <w:rsid w:val="00E37AFF"/>
    <w:rsid w:val="00E41A58"/>
    <w:rsid w:val="00E41E4F"/>
    <w:rsid w:val="00E41E9E"/>
    <w:rsid w:val="00E42A4D"/>
    <w:rsid w:val="00E434A1"/>
    <w:rsid w:val="00E43CD2"/>
    <w:rsid w:val="00E440D2"/>
    <w:rsid w:val="00E44D8A"/>
    <w:rsid w:val="00E4528E"/>
    <w:rsid w:val="00E4580E"/>
    <w:rsid w:val="00E45F52"/>
    <w:rsid w:val="00E46508"/>
    <w:rsid w:val="00E46936"/>
    <w:rsid w:val="00E46AC0"/>
    <w:rsid w:val="00E46B6F"/>
    <w:rsid w:val="00E473B0"/>
    <w:rsid w:val="00E47B54"/>
    <w:rsid w:val="00E47CCD"/>
    <w:rsid w:val="00E50750"/>
    <w:rsid w:val="00E509EA"/>
    <w:rsid w:val="00E50E79"/>
    <w:rsid w:val="00E50FA0"/>
    <w:rsid w:val="00E515D5"/>
    <w:rsid w:val="00E519AF"/>
    <w:rsid w:val="00E52003"/>
    <w:rsid w:val="00E5209B"/>
    <w:rsid w:val="00E52782"/>
    <w:rsid w:val="00E53E55"/>
    <w:rsid w:val="00E543B2"/>
    <w:rsid w:val="00E54B05"/>
    <w:rsid w:val="00E5715E"/>
    <w:rsid w:val="00E609F9"/>
    <w:rsid w:val="00E60B53"/>
    <w:rsid w:val="00E60C82"/>
    <w:rsid w:val="00E61840"/>
    <w:rsid w:val="00E62B44"/>
    <w:rsid w:val="00E62FFE"/>
    <w:rsid w:val="00E6373B"/>
    <w:rsid w:val="00E63DC8"/>
    <w:rsid w:val="00E64990"/>
    <w:rsid w:val="00E64BFE"/>
    <w:rsid w:val="00E65359"/>
    <w:rsid w:val="00E66040"/>
    <w:rsid w:val="00E6616A"/>
    <w:rsid w:val="00E67B4A"/>
    <w:rsid w:val="00E67F16"/>
    <w:rsid w:val="00E70AB0"/>
    <w:rsid w:val="00E71171"/>
    <w:rsid w:val="00E71525"/>
    <w:rsid w:val="00E71F27"/>
    <w:rsid w:val="00E7205D"/>
    <w:rsid w:val="00E720F8"/>
    <w:rsid w:val="00E721D9"/>
    <w:rsid w:val="00E723F5"/>
    <w:rsid w:val="00E72403"/>
    <w:rsid w:val="00E72404"/>
    <w:rsid w:val="00E72D68"/>
    <w:rsid w:val="00E73F4B"/>
    <w:rsid w:val="00E74C2C"/>
    <w:rsid w:val="00E75655"/>
    <w:rsid w:val="00E75993"/>
    <w:rsid w:val="00E75BCB"/>
    <w:rsid w:val="00E7631C"/>
    <w:rsid w:val="00E764E7"/>
    <w:rsid w:val="00E80172"/>
    <w:rsid w:val="00E804CC"/>
    <w:rsid w:val="00E808B5"/>
    <w:rsid w:val="00E81BBF"/>
    <w:rsid w:val="00E81DB9"/>
    <w:rsid w:val="00E81F69"/>
    <w:rsid w:val="00E822F7"/>
    <w:rsid w:val="00E8231C"/>
    <w:rsid w:val="00E8262F"/>
    <w:rsid w:val="00E828D9"/>
    <w:rsid w:val="00E848E2"/>
    <w:rsid w:val="00E84C8E"/>
    <w:rsid w:val="00E85358"/>
    <w:rsid w:val="00E863C1"/>
    <w:rsid w:val="00E86638"/>
    <w:rsid w:val="00E86B98"/>
    <w:rsid w:val="00E871FE"/>
    <w:rsid w:val="00E87A07"/>
    <w:rsid w:val="00E87B6C"/>
    <w:rsid w:val="00E915D2"/>
    <w:rsid w:val="00E9217C"/>
    <w:rsid w:val="00E921F1"/>
    <w:rsid w:val="00E92741"/>
    <w:rsid w:val="00E92C04"/>
    <w:rsid w:val="00E92EE4"/>
    <w:rsid w:val="00E93AB5"/>
    <w:rsid w:val="00E93F76"/>
    <w:rsid w:val="00E96511"/>
    <w:rsid w:val="00E96A85"/>
    <w:rsid w:val="00E9758A"/>
    <w:rsid w:val="00E979E9"/>
    <w:rsid w:val="00E97CD2"/>
    <w:rsid w:val="00EA050A"/>
    <w:rsid w:val="00EA0754"/>
    <w:rsid w:val="00EA0BAB"/>
    <w:rsid w:val="00EA0F2F"/>
    <w:rsid w:val="00EA11F0"/>
    <w:rsid w:val="00EA16A0"/>
    <w:rsid w:val="00EA1F5A"/>
    <w:rsid w:val="00EA2AFF"/>
    <w:rsid w:val="00EA2B36"/>
    <w:rsid w:val="00EA3FEF"/>
    <w:rsid w:val="00EA4108"/>
    <w:rsid w:val="00EA419C"/>
    <w:rsid w:val="00EA45F4"/>
    <w:rsid w:val="00EA4844"/>
    <w:rsid w:val="00EA4F4F"/>
    <w:rsid w:val="00EA56D1"/>
    <w:rsid w:val="00EA6388"/>
    <w:rsid w:val="00EB154B"/>
    <w:rsid w:val="00EB1DBE"/>
    <w:rsid w:val="00EB1EEE"/>
    <w:rsid w:val="00EB5013"/>
    <w:rsid w:val="00EB50C9"/>
    <w:rsid w:val="00EB53AD"/>
    <w:rsid w:val="00EB5804"/>
    <w:rsid w:val="00EB5C9A"/>
    <w:rsid w:val="00EB6224"/>
    <w:rsid w:val="00EB62C2"/>
    <w:rsid w:val="00EB6DEA"/>
    <w:rsid w:val="00EB6E04"/>
    <w:rsid w:val="00EB6FC2"/>
    <w:rsid w:val="00EC0AAB"/>
    <w:rsid w:val="00EC0AF4"/>
    <w:rsid w:val="00EC0B74"/>
    <w:rsid w:val="00EC153B"/>
    <w:rsid w:val="00EC1703"/>
    <w:rsid w:val="00EC1707"/>
    <w:rsid w:val="00EC19AE"/>
    <w:rsid w:val="00EC1EA0"/>
    <w:rsid w:val="00EC2E9B"/>
    <w:rsid w:val="00EC38B2"/>
    <w:rsid w:val="00EC4E70"/>
    <w:rsid w:val="00EC5046"/>
    <w:rsid w:val="00EC53E0"/>
    <w:rsid w:val="00EC57C6"/>
    <w:rsid w:val="00EC5FA2"/>
    <w:rsid w:val="00EC6235"/>
    <w:rsid w:val="00EC7AB4"/>
    <w:rsid w:val="00ED048B"/>
    <w:rsid w:val="00ED1379"/>
    <w:rsid w:val="00ED1956"/>
    <w:rsid w:val="00ED1D99"/>
    <w:rsid w:val="00ED20CB"/>
    <w:rsid w:val="00ED3795"/>
    <w:rsid w:val="00ED4629"/>
    <w:rsid w:val="00ED52BC"/>
    <w:rsid w:val="00ED55F7"/>
    <w:rsid w:val="00ED66A4"/>
    <w:rsid w:val="00ED6D84"/>
    <w:rsid w:val="00ED78AD"/>
    <w:rsid w:val="00ED7C8E"/>
    <w:rsid w:val="00ED7F35"/>
    <w:rsid w:val="00EE0582"/>
    <w:rsid w:val="00EE079A"/>
    <w:rsid w:val="00EE0848"/>
    <w:rsid w:val="00EE0B9D"/>
    <w:rsid w:val="00EE1177"/>
    <w:rsid w:val="00EE2205"/>
    <w:rsid w:val="00EE2BDA"/>
    <w:rsid w:val="00EE2BEA"/>
    <w:rsid w:val="00EE2CD5"/>
    <w:rsid w:val="00EE34F2"/>
    <w:rsid w:val="00EE4058"/>
    <w:rsid w:val="00EE535A"/>
    <w:rsid w:val="00EE5691"/>
    <w:rsid w:val="00EE5C67"/>
    <w:rsid w:val="00EE63B4"/>
    <w:rsid w:val="00EE690D"/>
    <w:rsid w:val="00EE6F6C"/>
    <w:rsid w:val="00EF03E6"/>
    <w:rsid w:val="00EF09AA"/>
    <w:rsid w:val="00EF0C0C"/>
    <w:rsid w:val="00EF0DA4"/>
    <w:rsid w:val="00EF2642"/>
    <w:rsid w:val="00EF36D2"/>
    <w:rsid w:val="00EF3E19"/>
    <w:rsid w:val="00EF3F40"/>
    <w:rsid w:val="00EF3FFE"/>
    <w:rsid w:val="00EF57B0"/>
    <w:rsid w:val="00EF6F9D"/>
    <w:rsid w:val="00EF6FD5"/>
    <w:rsid w:val="00EF7386"/>
    <w:rsid w:val="00F004BA"/>
    <w:rsid w:val="00F006CF"/>
    <w:rsid w:val="00F00A38"/>
    <w:rsid w:val="00F015E6"/>
    <w:rsid w:val="00F02C9A"/>
    <w:rsid w:val="00F02E37"/>
    <w:rsid w:val="00F0322C"/>
    <w:rsid w:val="00F03A91"/>
    <w:rsid w:val="00F03DE3"/>
    <w:rsid w:val="00F0425D"/>
    <w:rsid w:val="00F04C31"/>
    <w:rsid w:val="00F052D1"/>
    <w:rsid w:val="00F05816"/>
    <w:rsid w:val="00F07FEC"/>
    <w:rsid w:val="00F1041F"/>
    <w:rsid w:val="00F1062E"/>
    <w:rsid w:val="00F10AFC"/>
    <w:rsid w:val="00F11185"/>
    <w:rsid w:val="00F114E6"/>
    <w:rsid w:val="00F117D1"/>
    <w:rsid w:val="00F12A95"/>
    <w:rsid w:val="00F12EA3"/>
    <w:rsid w:val="00F13526"/>
    <w:rsid w:val="00F1455C"/>
    <w:rsid w:val="00F14A2E"/>
    <w:rsid w:val="00F14A91"/>
    <w:rsid w:val="00F14B07"/>
    <w:rsid w:val="00F14DFA"/>
    <w:rsid w:val="00F160B4"/>
    <w:rsid w:val="00F163FF"/>
    <w:rsid w:val="00F17177"/>
    <w:rsid w:val="00F176BA"/>
    <w:rsid w:val="00F177C6"/>
    <w:rsid w:val="00F17B2E"/>
    <w:rsid w:val="00F20C33"/>
    <w:rsid w:val="00F20E7A"/>
    <w:rsid w:val="00F215C7"/>
    <w:rsid w:val="00F217D5"/>
    <w:rsid w:val="00F219A4"/>
    <w:rsid w:val="00F2228C"/>
    <w:rsid w:val="00F22648"/>
    <w:rsid w:val="00F23247"/>
    <w:rsid w:val="00F249CD"/>
    <w:rsid w:val="00F2521E"/>
    <w:rsid w:val="00F259B6"/>
    <w:rsid w:val="00F26B14"/>
    <w:rsid w:val="00F26CC7"/>
    <w:rsid w:val="00F26CE4"/>
    <w:rsid w:val="00F271B3"/>
    <w:rsid w:val="00F30076"/>
    <w:rsid w:val="00F315FD"/>
    <w:rsid w:val="00F32496"/>
    <w:rsid w:val="00F325B9"/>
    <w:rsid w:val="00F32D09"/>
    <w:rsid w:val="00F33ABB"/>
    <w:rsid w:val="00F34382"/>
    <w:rsid w:val="00F34525"/>
    <w:rsid w:val="00F348D2"/>
    <w:rsid w:val="00F356CE"/>
    <w:rsid w:val="00F358AF"/>
    <w:rsid w:val="00F35C54"/>
    <w:rsid w:val="00F36287"/>
    <w:rsid w:val="00F362B4"/>
    <w:rsid w:val="00F3670A"/>
    <w:rsid w:val="00F372AF"/>
    <w:rsid w:val="00F37847"/>
    <w:rsid w:val="00F37BEE"/>
    <w:rsid w:val="00F37C9B"/>
    <w:rsid w:val="00F40211"/>
    <w:rsid w:val="00F41508"/>
    <w:rsid w:val="00F423F0"/>
    <w:rsid w:val="00F42FE9"/>
    <w:rsid w:val="00F430B2"/>
    <w:rsid w:val="00F43925"/>
    <w:rsid w:val="00F4393C"/>
    <w:rsid w:val="00F45359"/>
    <w:rsid w:val="00F45413"/>
    <w:rsid w:val="00F46113"/>
    <w:rsid w:val="00F463F5"/>
    <w:rsid w:val="00F47564"/>
    <w:rsid w:val="00F47628"/>
    <w:rsid w:val="00F47A9F"/>
    <w:rsid w:val="00F47CA5"/>
    <w:rsid w:val="00F50709"/>
    <w:rsid w:val="00F5103B"/>
    <w:rsid w:val="00F5132F"/>
    <w:rsid w:val="00F519A4"/>
    <w:rsid w:val="00F527CB"/>
    <w:rsid w:val="00F52DF6"/>
    <w:rsid w:val="00F52FC6"/>
    <w:rsid w:val="00F5302B"/>
    <w:rsid w:val="00F530D8"/>
    <w:rsid w:val="00F535E7"/>
    <w:rsid w:val="00F5381F"/>
    <w:rsid w:val="00F5524C"/>
    <w:rsid w:val="00F56365"/>
    <w:rsid w:val="00F56546"/>
    <w:rsid w:val="00F56641"/>
    <w:rsid w:val="00F56956"/>
    <w:rsid w:val="00F57838"/>
    <w:rsid w:val="00F57A08"/>
    <w:rsid w:val="00F57ED1"/>
    <w:rsid w:val="00F60315"/>
    <w:rsid w:val="00F60EF2"/>
    <w:rsid w:val="00F60F37"/>
    <w:rsid w:val="00F61095"/>
    <w:rsid w:val="00F6111F"/>
    <w:rsid w:val="00F61AC4"/>
    <w:rsid w:val="00F61BAE"/>
    <w:rsid w:val="00F620A2"/>
    <w:rsid w:val="00F62DE7"/>
    <w:rsid w:val="00F63080"/>
    <w:rsid w:val="00F63AB7"/>
    <w:rsid w:val="00F63BA7"/>
    <w:rsid w:val="00F63E8D"/>
    <w:rsid w:val="00F64898"/>
    <w:rsid w:val="00F65282"/>
    <w:rsid w:val="00F65399"/>
    <w:rsid w:val="00F65DD7"/>
    <w:rsid w:val="00F65E76"/>
    <w:rsid w:val="00F66294"/>
    <w:rsid w:val="00F66371"/>
    <w:rsid w:val="00F66830"/>
    <w:rsid w:val="00F66DFB"/>
    <w:rsid w:val="00F67634"/>
    <w:rsid w:val="00F71DF2"/>
    <w:rsid w:val="00F71FB1"/>
    <w:rsid w:val="00F72493"/>
    <w:rsid w:val="00F72A56"/>
    <w:rsid w:val="00F74018"/>
    <w:rsid w:val="00F75233"/>
    <w:rsid w:val="00F75FD2"/>
    <w:rsid w:val="00F7604E"/>
    <w:rsid w:val="00F7616B"/>
    <w:rsid w:val="00F765F7"/>
    <w:rsid w:val="00F76AE1"/>
    <w:rsid w:val="00F777C7"/>
    <w:rsid w:val="00F800B6"/>
    <w:rsid w:val="00F8071F"/>
    <w:rsid w:val="00F811C6"/>
    <w:rsid w:val="00F811F8"/>
    <w:rsid w:val="00F83296"/>
    <w:rsid w:val="00F834C3"/>
    <w:rsid w:val="00F8411E"/>
    <w:rsid w:val="00F849F4"/>
    <w:rsid w:val="00F84B2D"/>
    <w:rsid w:val="00F84BC7"/>
    <w:rsid w:val="00F855D5"/>
    <w:rsid w:val="00F85D06"/>
    <w:rsid w:val="00F86288"/>
    <w:rsid w:val="00F87E46"/>
    <w:rsid w:val="00F913DC"/>
    <w:rsid w:val="00F9145F"/>
    <w:rsid w:val="00F91E30"/>
    <w:rsid w:val="00F926F0"/>
    <w:rsid w:val="00F92B41"/>
    <w:rsid w:val="00F92BFE"/>
    <w:rsid w:val="00F93228"/>
    <w:rsid w:val="00F93400"/>
    <w:rsid w:val="00F9356C"/>
    <w:rsid w:val="00F93B5F"/>
    <w:rsid w:val="00F9591C"/>
    <w:rsid w:val="00F96DEE"/>
    <w:rsid w:val="00F9775A"/>
    <w:rsid w:val="00F97A85"/>
    <w:rsid w:val="00F97A95"/>
    <w:rsid w:val="00FA04B2"/>
    <w:rsid w:val="00FA3252"/>
    <w:rsid w:val="00FA3858"/>
    <w:rsid w:val="00FA3865"/>
    <w:rsid w:val="00FA3EAE"/>
    <w:rsid w:val="00FA45D4"/>
    <w:rsid w:val="00FA46C8"/>
    <w:rsid w:val="00FA4E19"/>
    <w:rsid w:val="00FA5064"/>
    <w:rsid w:val="00FA5561"/>
    <w:rsid w:val="00FA610E"/>
    <w:rsid w:val="00FA641C"/>
    <w:rsid w:val="00FA66D0"/>
    <w:rsid w:val="00FA67D6"/>
    <w:rsid w:val="00FA6E69"/>
    <w:rsid w:val="00FA77E4"/>
    <w:rsid w:val="00FA7CEF"/>
    <w:rsid w:val="00FB1578"/>
    <w:rsid w:val="00FB199D"/>
    <w:rsid w:val="00FB1C26"/>
    <w:rsid w:val="00FB1D44"/>
    <w:rsid w:val="00FB2410"/>
    <w:rsid w:val="00FB25EE"/>
    <w:rsid w:val="00FB2CD7"/>
    <w:rsid w:val="00FB2E7B"/>
    <w:rsid w:val="00FB2FF1"/>
    <w:rsid w:val="00FB4872"/>
    <w:rsid w:val="00FB4960"/>
    <w:rsid w:val="00FB5258"/>
    <w:rsid w:val="00FB5985"/>
    <w:rsid w:val="00FC019F"/>
    <w:rsid w:val="00FC04E6"/>
    <w:rsid w:val="00FC0624"/>
    <w:rsid w:val="00FC0B81"/>
    <w:rsid w:val="00FC1030"/>
    <w:rsid w:val="00FC1715"/>
    <w:rsid w:val="00FC20DD"/>
    <w:rsid w:val="00FC223C"/>
    <w:rsid w:val="00FC25E9"/>
    <w:rsid w:val="00FC371D"/>
    <w:rsid w:val="00FC41EC"/>
    <w:rsid w:val="00FC4A4B"/>
    <w:rsid w:val="00FC4D06"/>
    <w:rsid w:val="00FC5515"/>
    <w:rsid w:val="00FC60C0"/>
    <w:rsid w:val="00FC6275"/>
    <w:rsid w:val="00FC6589"/>
    <w:rsid w:val="00FC6D7A"/>
    <w:rsid w:val="00FC70BF"/>
    <w:rsid w:val="00FD0193"/>
    <w:rsid w:val="00FD042B"/>
    <w:rsid w:val="00FD0FAA"/>
    <w:rsid w:val="00FD12BF"/>
    <w:rsid w:val="00FD16F5"/>
    <w:rsid w:val="00FD17D7"/>
    <w:rsid w:val="00FD239F"/>
    <w:rsid w:val="00FD2AE8"/>
    <w:rsid w:val="00FD32FA"/>
    <w:rsid w:val="00FD380B"/>
    <w:rsid w:val="00FD3883"/>
    <w:rsid w:val="00FD38B8"/>
    <w:rsid w:val="00FD41A1"/>
    <w:rsid w:val="00FD457C"/>
    <w:rsid w:val="00FD4691"/>
    <w:rsid w:val="00FD54FC"/>
    <w:rsid w:val="00FD5ABD"/>
    <w:rsid w:val="00FD6675"/>
    <w:rsid w:val="00FD6CCB"/>
    <w:rsid w:val="00FD6D27"/>
    <w:rsid w:val="00FD6F00"/>
    <w:rsid w:val="00FD7524"/>
    <w:rsid w:val="00FD7960"/>
    <w:rsid w:val="00FD7CAF"/>
    <w:rsid w:val="00FD7E66"/>
    <w:rsid w:val="00FD7FB3"/>
    <w:rsid w:val="00FE052A"/>
    <w:rsid w:val="00FE219F"/>
    <w:rsid w:val="00FE21F5"/>
    <w:rsid w:val="00FE28F4"/>
    <w:rsid w:val="00FE30C1"/>
    <w:rsid w:val="00FE3366"/>
    <w:rsid w:val="00FE3BD8"/>
    <w:rsid w:val="00FE43D5"/>
    <w:rsid w:val="00FE4546"/>
    <w:rsid w:val="00FE4747"/>
    <w:rsid w:val="00FE4AE0"/>
    <w:rsid w:val="00FE4D22"/>
    <w:rsid w:val="00FE4F39"/>
    <w:rsid w:val="00FE63C2"/>
    <w:rsid w:val="00FE6805"/>
    <w:rsid w:val="00FE6968"/>
    <w:rsid w:val="00FE6995"/>
    <w:rsid w:val="00FE69AC"/>
    <w:rsid w:val="00FE6B3D"/>
    <w:rsid w:val="00FE6CFB"/>
    <w:rsid w:val="00FF0040"/>
    <w:rsid w:val="00FF1422"/>
    <w:rsid w:val="00FF15C6"/>
    <w:rsid w:val="00FF1617"/>
    <w:rsid w:val="00FF16CB"/>
    <w:rsid w:val="00FF182E"/>
    <w:rsid w:val="00FF208F"/>
    <w:rsid w:val="00FF2658"/>
    <w:rsid w:val="00FF2818"/>
    <w:rsid w:val="00FF2D0E"/>
    <w:rsid w:val="00FF325F"/>
    <w:rsid w:val="00FF36A5"/>
    <w:rsid w:val="00FF3B3B"/>
    <w:rsid w:val="00FF75CC"/>
    <w:rsid w:val="00FF7726"/>
    <w:rsid w:val="07859241"/>
    <w:rsid w:val="07E32C6E"/>
    <w:rsid w:val="08820879"/>
    <w:rsid w:val="08FD2D54"/>
    <w:rsid w:val="0929C8F9"/>
    <w:rsid w:val="0CE86720"/>
    <w:rsid w:val="10938E76"/>
    <w:rsid w:val="12C2E25E"/>
    <w:rsid w:val="13886121"/>
    <w:rsid w:val="14B9F50B"/>
    <w:rsid w:val="150DB7AC"/>
    <w:rsid w:val="15B77EAB"/>
    <w:rsid w:val="15B92082"/>
    <w:rsid w:val="15D85431"/>
    <w:rsid w:val="17DDF4CD"/>
    <w:rsid w:val="1F2470FA"/>
    <w:rsid w:val="22327785"/>
    <w:rsid w:val="2307EF88"/>
    <w:rsid w:val="232C9656"/>
    <w:rsid w:val="238EDBCC"/>
    <w:rsid w:val="23F8FC14"/>
    <w:rsid w:val="24B550A7"/>
    <w:rsid w:val="252E7EE8"/>
    <w:rsid w:val="25428D19"/>
    <w:rsid w:val="2705AFFA"/>
    <w:rsid w:val="2ABD104B"/>
    <w:rsid w:val="2D122AE6"/>
    <w:rsid w:val="2D21CA2C"/>
    <w:rsid w:val="2D98B88B"/>
    <w:rsid w:val="2E857C8B"/>
    <w:rsid w:val="31BE6697"/>
    <w:rsid w:val="378DED4E"/>
    <w:rsid w:val="3D78150B"/>
    <w:rsid w:val="3F1498B8"/>
    <w:rsid w:val="3F7C7D5F"/>
    <w:rsid w:val="40D94743"/>
    <w:rsid w:val="428A35F1"/>
    <w:rsid w:val="4299D1CC"/>
    <w:rsid w:val="4575962E"/>
    <w:rsid w:val="4857B5BD"/>
    <w:rsid w:val="48DC92B9"/>
    <w:rsid w:val="49A4947D"/>
    <w:rsid w:val="4A9A1919"/>
    <w:rsid w:val="4E6F56B7"/>
    <w:rsid w:val="4F3669E2"/>
    <w:rsid w:val="4F39E5C2"/>
    <w:rsid w:val="4F57E5F1"/>
    <w:rsid w:val="516FDE54"/>
    <w:rsid w:val="54AB2CC8"/>
    <w:rsid w:val="5854A793"/>
    <w:rsid w:val="5AACF0D6"/>
    <w:rsid w:val="5AD645FD"/>
    <w:rsid w:val="5C7A0CE7"/>
    <w:rsid w:val="5DC7392C"/>
    <w:rsid w:val="5EE9B972"/>
    <w:rsid w:val="614C6E3B"/>
    <w:rsid w:val="6203A814"/>
    <w:rsid w:val="6662F08F"/>
    <w:rsid w:val="66C0A222"/>
    <w:rsid w:val="69C460C0"/>
    <w:rsid w:val="6FE85455"/>
    <w:rsid w:val="73236262"/>
    <w:rsid w:val="73D1159F"/>
    <w:rsid w:val="7488CB44"/>
    <w:rsid w:val="76BC035D"/>
    <w:rsid w:val="7C204B97"/>
    <w:rsid w:val="7D3B748B"/>
    <w:rsid w:val="7D6C4627"/>
  </w:rsids>
  <m:mathPr>
    <m:mathFont m:val="Cambria Math"/>
    <m:brkBin m:val="before"/>
    <m:brkBinSub m:val="--"/>
    <m:smallFrac m:val="0"/>
    <m:dispDef/>
    <m:lMargin m:val="0"/>
    <m:rMargin m:val="0"/>
    <m:defJc m:val="centerGroup"/>
    <m:wrapIndent m:val="1440"/>
    <m:intLim m:val="subSup"/>
    <m:naryLim m:val="undOvr"/>
  </m:mathPr>
  <w:themeFontLang w:val="en-GB" w:eastAsia="zh-CN" w:bidi="ne-N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CBD667A"/>
  <w15:docId w15:val="{C7EEFCF4-0B62-4A14-B5DC-F00ADF277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GB" w:eastAsia="en-GB" w:bidi="ne-NP"/>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uiPriority="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iPriority="0"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iPriority="1" w:unhideWhenUsed="1"/>
    <w:lsdException w:name="endnote text" w:locked="1" w:semiHidden="1" w:uiPriority="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qFormat="1"/>
    <w:lsdException w:name="List Bullet" w:locked="1" w:semiHidden="1" w:uiPriority="0" w:unhideWhenUsed="1" w:qFormat="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EDA"/>
    <w:pPr>
      <w:spacing w:before="120" w:after="120"/>
      <w:jc w:val="both"/>
    </w:pPr>
    <w:rPr>
      <w:rFonts w:ascii="Verdana" w:eastAsia="Times New Roman" w:hAnsi="Verdana"/>
      <w:szCs w:val="24"/>
      <w:lang w:eastAsia="en-US" w:bidi="ar-SA"/>
    </w:rPr>
  </w:style>
  <w:style w:type="paragraph" w:styleId="Heading1">
    <w:name w:val="heading 1"/>
    <w:aliases w:val="Cover title white"/>
    <w:basedOn w:val="Normal"/>
    <w:next w:val="Normal"/>
    <w:link w:val="Heading1Char"/>
    <w:autoRedefine/>
    <w:qFormat/>
    <w:rsid w:val="005A6305"/>
    <w:pPr>
      <w:keepNext/>
      <w:autoSpaceDE w:val="0"/>
      <w:autoSpaceDN w:val="0"/>
      <w:adjustRightInd w:val="0"/>
      <w:spacing w:before="0" w:after="0"/>
      <w:jc w:val="left"/>
      <w:outlineLvl w:val="0"/>
    </w:pPr>
    <w:rPr>
      <w:rFonts w:eastAsia="Arial"/>
      <w:b/>
      <w:szCs w:val="20"/>
      <w:u w:val="single"/>
      <w:lang w:eastAsia="x-none"/>
    </w:rPr>
  </w:style>
  <w:style w:type="paragraph" w:styleId="Heading2">
    <w:name w:val="heading 2"/>
    <w:basedOn w:val="Normal"/>
    <w:next w:val="Normal"/>
    <w:link w:val="Heading2Char"/>
    <w:autoRedefine/>
    <w:uiPriority w:val="99"/>
    <w:qFormat/>
    <w:rsid w:val="001E5A75"/>
    <w:pPr>
      <w:keepNext/>
      <w:spacing w:before="240"/>
      <w:outlineLvl w:val="1"/>
    </w:pPr>
    <w:rPr>
      <w:rFonts w:eastAsia="Arial"/>
      <w:b/>
      <w:sz w:val="24"/>
      <w:u w:val="single"/>
      <w:lang w:val="en-US" w:eastAsia="x-none"/>
    </w:rPr>
  </w:style>
  <w:style w:type="paragraph" w:styleId="Heading3">
    <w:name w:val="heading 3"/>
    <w:aliases w:val="Title 2"/>
    <w:basedOn w:val="Normal"/>
    <w:next w:val="Normal"/>
    <w:link w:val="Heading3Char1"/>
    <w:autoRedefine/>
    <w:uiPriority w:val="99"/>
    <w:qFormat/>
    <w:rsid w:val="001E5A75"/>
    <w:pPr>
      <w:keepNext/>
      <w:spacing w:before="180"/>
      <w:outlineLvl w:val="2"/>
    </w:pPr>
    <w:rPr>
      <w:rFonts w:ascii="Arial" w:eastAsia="Arial" w:hAnsi="Arial"/>
      <w:b/>
      <w:szCs w:val="20"/>
      <w:lang w:val="x-none" w:eastAsia="de-DE"/>
    </w:rPr>
  </w:style>
  <w:style w:type="paragraph" w:styleId="Heading4">
    <w:name w:val="heading 4"/>
    <w:basedOn w:val="Normal"/>
    <w:next w:val="Normal"/>
    <w:link w:val="Heading4Char"/>
    <w:autoRedefine/>
    <w:uiPriority w:val="99"/>
    <w:qFormat/>
    <w:rsid w:val="00DE0962"/>
    <w:pPr>
      <w:keepNext/>
      <w:numPr>
        <w:numId w:val="17"/>
      </w:numPr>
      <w:spacing w:before="160"/>
      <w:outlineLvl w:val="3"/>
    </w:pPr>
    <w:rPr>
      <w:b/>
      <w:u w:val="single"/>
    </w:rPr>
  </w:style>
  <w:style w:type="paragraph" w:styleId="Heading5">
    <w:name w:val="heading 5"/>
    <w:aliases w:val="Cover subtitle white"/>
    <w:basedOn w:val="Normal"/>
    <w:next w:val="Normal"/>
    <w:link w:val="Heading5Char"/>
    <w:autoRedefine/>
    <w:uiPriority w:val="1"/>
    <w:qFormat/>
    <w:rsid w:val="001E5A75"/>
    <w:pPr>
      <w:keepNext/>
      <w:spacing w:before="140"/>
      <w:outlineLvl w:val="4"/>
    </w:pPr>
    <w:rPr>
      <w:rFonts w:ascii="Arial" w:eastAsia="Arial" w:hAnsi="Arial"/>
      <w:b/>
      <w:i/>
      <w:szCs w:val="20"/>
      <w:lang w:val="x-none" w:eastAsia="de-DE"/>
    </w:rPr>
  </w:style>
  <w:style w:type="paragraph" w:styleId="Heading6">
    <w:name w:val="heading 6"/>
    <w:basedOn w:val="Normal"/>
    <w:next w:val="Normal"/>
    <w:link w:val="Heading6Char"/>
    <w:qFormat/>
    <w:rsid w:val="001E5A75"/>
    <w:pPr>
      <w:spacing w:before="240" w:after="60"/>
      <w:outlineLvl w:val="5"/>
    </w:pPr>
    <w:rPr>
      <w:rFonts w:ascii="Times New Roman" w:eastAsia="Arial" w:hAnsi="Times New Roman"/>
      <w:b/>
      <w:bCs/>
      <w:szCs w:val="20"/>
      <w:lang w:val="x-none" w:eastAsia="de-DE"/>
    </w:rPr>
  </w:style>
  <w:style w:type="paragraph" w:styleId="Heading7">
    <w:name w:val="heading 7"/>
    <w:basedOn w:val="Normal"/>
    <w:next w:val="Normal"/>
    <w:link w:val="Heading7Char"/>
    <w:qFormat/>
    <w:rsid w:val="001E5A75"/>
    <w:pPr>
      <w:spacing w:before="240" w:after="60"/>
      <w:outlineLvl w:val="6"/>
    </w:pPr>
    <w:rPr>
      <w:rFonts w:ascii="Times New Roman" w:eastAsia="Arial" w:hAnsi="Times New Roman"/>
      <w:szCs w:val="20"/>
      <w:lang w:val="x-none" w:eastAsia="de-DE"/>
    </w:rPr>
  </w:style>
  <w:style w:type="paragraph" w:styleId="Heading8">
    <w:name w:val="heading 8"/>
    <w:basedOn w:val="Normal"/>
    <w:next w:val="Normal"/>
    <w:link w:val="Heading8Char"/>
    <w:qFormat/>
    <w:rsid w:val="001E5A75"/>
    <w:pPr>
      <w:spacing w:before="240" w:after="60"/>
      <w:outlineLvl w:val="7"/>
    </w:pPr>
    <w:rPr>
      <w:rFonts w:ascii="Times New Roman" w:eastAsia="Arial" w:hAnsi="Times New Roman"/>
      <w:i/>
      <w:iCs/>
      <w:szCs w:val="20"/>
      <w:lang w:val="x-none" w:eastAsia="de-DE"/>
    </w:rPr>
  </w:style>
  <w:style w:type="paragraph" w:styleId="Heading9">
    <w:name w:val="heading 9"/>
    <w:basedOn w:val="Normal"/>
    <w:next w:val="Normal"/>
    <w:link w:val="Heading9Char"/>
    <w:qFormat/>
    <w:rsid w:val="001E5A75"/>
    <w:pPr>
      <w:spacing w:before="240" w:after="60"/>
      <w:outlineLvl w:val="8"/>
    </w:pPr>
    <w:rPr>
      <w:rFonts w:ascii="Arial" w:eastAsia="Arial" w:hAnsi="Arial"/>
      <w:szCs w:val="20"/>
      <w:lang w:val="x-non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over title white Char"/>
    <w:link w:val="Heading1"/>
    <w:locked/>
    <w:rsid w:val="005A6305"/>
    <w:rPr>
      <w:rFonts w:ascii="Verdana" w:hAnsi="Verdana" w:cs="Times New Roman"/>
      <w:b/>
      <w:sz w:val="20"/>
      <w:szCs w:val="20"/>
      <w:u w:val="single"/>
      <w:lang w:val="en-GB"/>
    </w:rPr>
  </w:style>
  <w:style w:type="character" w:customStyle="1" w:styleId="Heading2Char">
    <w:name w:val="Heading 2 Char"/>
    <w:link w:val="Heading2"/>
    <w:uiPriority w:val="99"/>
    <w:locked/>
    <w:rsid w:val="00EC5046"/>
    <w:rPr>
      <w:rFonts w:ascii="Verdana" w:hAnsi="Verdana" w:cs="Times New Roman"/>
      <w:b/>
      <w:sz w:val="24"/>
      <w:szCs w:val="24"/>
      <w:u w:val="single"/>
      <w:lang w:val="en-US"/>
    </w:rPr>
  </w:style>
  <w:style w:type="character" w:customStyle="1" w:styleId="Heading3Char">
    <w:name w:val="Heading 3 Char"/>
    <w:aliases w:val="Title 2 Char"/>
    <w:uiPriority w:val="99"/>
    <w:locked/>
    <w:rsid w:val="00884FEB"/>
    <w:rPr>
      <w:rFonts w:cs="Times New Roman"/>
      <w:sz w:val="24"/>
      <w:szCs w:val="24"/>
      <w:lang w:val="en-US" w:eastAsia="en-US"/>
    </w:rPr>
  </w:style>
  <w:style w:type="character" w:customStyle="1" w:styleId="Heading4Char">
    <w:name w:val="Heading 4 Char"/>
    <w:link w:val="Heading4"/>
    <w:uiPriority w:val="99"/>
    <w:locked/>
    <w:rsid w:val="00DE0962"/>
    <w:rPr>
      <w:rFonts w:ascii="Verdana" w:eastAsia="Times New Roman" w:hAnsi="Verdana"/>
      <w:b/>
      <w:szCs w:val="24"/>
      <w:u w:val="single"/>
      <w:lang w:eastAsia="en-US" w:bidi="ar-SA"/>
    </w:rPr>
  </w:style>
  <w:style w:type="character" w:customStyle="1" w:styleId="Heading5Char">
    <w:name w:val="Heading 5 Char"/>
    <w:aliases w:val="Cover subtitle white Char"/>
    <w:link w:val="Heading5"/>
    <w:uiPriority w:val="1"/>
    <w:locked/>
    <w:rsid w:val="001E5A75"/>
    <w:rPr>
      <w:rFonts w:ascii="Arial" w:hAnsi="Arial" w:cs="Times New Roman"/>
      <w:b/>
      <w:i/>
      <w:sz w:val="20"/>
      <w:szCs w:val="20"/>
      <w:lang w:eastAsia="de-DE"/>
    </w:rPr>
  </w:style>
  <w:style w:type="character" w:customStyle="1" w:styleId="Heading6Char">
    <w:name w:val="Heading 6 Char"/>
    <w:link w:val="Heading6"/>
    <w:locked/>
    <w:rsid w:val="001E5A75"/>
    <w:rPr>
      <w:rFonts w:ascii="Times New Roman" w:hAnsi="Times New Roman" w:cs="Times New Roman"/>
      <w:b/>
      <w:bCs/>
      <w:lang w:eastAsia="de-DE"/>
    </w:rPr>
  </w:style>
  <w:style w:type="character" w:customStyle="1" w:styleId="Heading7Char">
    <w:name w:val="Heading 7 Char"/>
    <w:link w:val="Heading7"/>
    <w:locked/>
    <w:rsid w:val="001E5A75"/>
    <w:rPr>
      <w:rFonts w:ascii="Times New Roman" w:hAnsi="Times New Roman" w:cs="Times New Roman"/>
      <w:sz w:val="20"/>
      <w:szCs w:val="20"/>
      <w:lang w:eastAsia="de-DE"/>
    </w:rPr>
  </w:style>
  <w:style w:type="character" w:customStyle="1" w:styleId="Heading8Char">
    <w:name w:val="Heading 8 Char"/>
    <w:link w:val="Heading8"/>
    <w:locked/>
    <w:rsid w:val="001E5A75"/>
    <w:rPr>
      <w:rFonts w:ascii="Times New Roman" w:hAnsi="Times New Roman" w:cs="Times New Roman"/>
      <w:i/>
      <w:iCs/>
      <w:sz w:val="20"/>
      <w:szCs w:val="20"/>
      <w:lang w:eastAsia="de-DE"/>
    </w:rPr>
  </w:style>
  <w:style w:type="character" w:customStyle="1" w:styleId="Heading9Char">
    <w:name w:val="Heading 9 Char"/>
    <w:link w:val="Heading9"/>
    <w:locked/>
    <w:rsid w:val="001E5A75"/>
    <w:rPr>
      <w:rFonts w:ascii="Arial" w:hAnsi="Arial" w:cs="Arial"/>
      <w:lang w:eastAsia="de-DE"/>
    </w:rPr>
  </w:style>
  <w:style w:type="paragraph" w:styleId="TableofFigures">
    <w:name w:val="table of figures"/>
    <w:basedOn w:val="Normal"/>
    <w:next w:val="Normal"/>
    <w:qFormat/>
    <w:rsid w:val="001E5A75"/>
    <w:pPr>
      <w:ind w:left="440" w:hanging="440"/>
    </w:pPr>
  </w:style>
  <w:style w:type="paragraph" w:customStyle="1" w:styleId="Aufzhlungszeichen1">
    <w:name w:val="Aufzählungszeichen1"/>
    <w:basedOn w:val="Normal"/>
    <w:uiPriority w:val="1"/>
    <w:qFormat/>
    <w:rsid w:val="001E5A75"/>
    <w:pPr>
      <w:numPr>
        <w:numId w:val="1"/>
      </w:numPr>
      <w:spacing w:line="240" w:lineRule="exact"/>
    </w:pPr>
  </w:style>
  <w:style w:type="paragraph" w:customStyle="1" w:styleId="Aufzhlungszeichen2">
    <w:name w:val="Aufzählungszeichen2"/>
    <w:basedOn w:val="Normal"/>
    <w:uiPriority w:val="1"/>
    <w:qFormat/>
    <w:rsid w:val="001E5A75"/>
    <w:pPr>
      <w:numPr>
        <w:numId w:val="2"/>
      </w:numPr>
      <w:spacing w:line="240" w:lineRule="exact"/>
    </w:pPr>
  </w:style>
  <w:style w:type="paragraph" w:customStyle="1" w:styleId="Aufzhlungszeichen3">
    <w:name w:val="Aufzählungszeichen3"/>
    <w:basedOn w:val="Normal"/>
    <w:uiPriority w:val="1"/>
    <w:qFormat/>
    <w:rsid w:val="001E5A75"/>
    <w:pPr>
      <w:numPr>
        <w:numId w:val="3"/>
      </w:numPr>
      <w:spacing w:line="240" w:lineRule="exact"/>
    </w:pPr>
  </w:style>
  <w:style w:type="paragraph" w:customStyle="1" w:styleId="Aufzhlungszeichen4">
    <w:name w:val="Aufzählungszeichen4"/>
    <w:basedOn w:val="Normal"/>
    <w:uiPriority w:val="1"/>
    <w:qFormat/>
    <w:rsid w:val="001E5A75"/>
    <w:pPr>
      <w:numPr>
        <w:numId w:val="4"/>
      </w:numPr>
      <w:spacing w:line="240" w:lineRule="exact"/>
    </w:pPr>
  </w:style>
  <w:style w:type="paragraph" w:styleId="FootnoteText">
    <w:name w:val="footnote text"/>
    <w:basedOn w:val="Normal"/>
    <w:link w:val="FootnoteTextChar"/>
    <w:qFormat/>
    <w:rsid w:val="00C2636B"/>
    <w:pPr>
      <w:spacing w:line="180" w:lineRule="exact"/>
      <w:ind w:left="142" w:hanging="142"/>
    </w:pPr>
    <w:rPr>
      <w:rFonts w:ascii="Arial" w:eastAsia="Arial" w:hAnsi="Arial"/>
      <w:sz w:val="16"/>
      <w:szCs w:val="16"/>
      <w:lang w:val="x-none" w:eastAsia="de-DE"/>
    </w:rPr>
  </w:style>
  <w:style w:type="character" w:customStyle="1" w:styleId="FootnoteTextChar">
    <w:name w:val="Footnote Text Char"/>
    <w:link w:val="FootnoteText"/>
    <w:locked/>
    <w:rsid w:val="00C2636B"/>
    <w:rPr>
      <w:rFonts w:ascii="Arial" w:hAnsi="Arial" w:cs="Times New Roman"/>
      <w:sz w:val="16"/>
      <w:szCs w:val="16"/>
      <w:lang w:eastAsia="de-DE"/>
    </w:rPr>
  </w:style>
  <w:style w:type="character" w:styleId="FootnoteReference">
    <w:name w:val="footnote reference"/>
    <w:aliases w:val="Footnote Reference Number,Footnote Reference_LVL6,Footnote Reference_LVL61,Footnote Reference_LVL62,Footnote Reference_LVL63,Footnote Reference_LVL64,Footnote symbol,Footnote reference number,Fußnotenzeichen3,Char1"/>
    <w:qFormat/>
    <w:rsid w:val="001E5A75"/>
    <w:rPr>
      <w:rFonts w:ascii="Arial" w:hAnsi="Arial" w:cs="Times New Roman"/>
      <w:kern w:val="0"/>
      <w:position w:val="4"/>
      <w:sz w:val="12"/>
      <w:szCs w:val="12"/>
      <w:vertAlign w:val="baseline"/>
    </w:rPr>
  </w:style>
  <w:style w:type="paragraph" w:styleId="Footer">
    <w:name w:val="footer"/>
    <w:basedOn w:val="Normal"/>
    <w:link w:val="FooterChar"/>
    <w:uiPriority w:val="99"/>
    <w:rsid w:val="001E5A75"/>
    <w:pPr>
      <w:tabs>
        <w:tab w:val="center" w:pos="4536"/>
        <w:tab w:val="right" w:pos="9072"/>
      </w:tabs>
    </w:pPr>
    <w:rPr>
      <w:rFonts w:ascii="Arial" w:eastAsia="Arial" w:hAnsi="Arial"/>
      <w:sz w:val="14"/>
      <w:szCs w:val="14"/>
      <w:lang w:val="x-none" w:eastAsia="de-DE"/>
    </w:rPr>
  </w:style>
  <w:style w:type="character" w:customStyle="1" w:styleId="FooterChar">
    <w:name w:val="Footer Char"/>
    <w:link w:val="Footer"/>
    <w:uiPriority w:val="99"/>
    <w:locked/>
    <w:rsid w:val="001E5A75"/>
    <w:rPr>
      <w:rFonts w:ascii="Arial" w:hAnsi="Arial" w:cs="Times New Roman"/>
      <w:sz w:val="14"/>
      <w:szCs w:val="14"/>
      <w:lang w:eastAsia="de-DE"/>
    </w:rPr>
  </w:style>
  <w:style w:type="paragraph" w:customStyle="1" w:styleId="GliederungmitAufzhlung">
    <w:name w:val="Gliederung mit Aufzählung"/>
    <w:basedOn w:val="Normal"/>
    <w:uiPriority w:val="1"/>
    <w:qFormat/>
    <w:rsid w:val="001E5A75"/>
    <w:pPr>
      <w:numPr>
        <w:numId w:val="7"/>
      </w:numPr>
      <w:spacing w:line="312" w:lineRule="auto"/>
    </w:pPr>
  </w:style>
  <w:style w:type="paragraph" w:customStyle="1" w:styleId="GliederungmitNummerierung">
    <w:name w:val="Gliederung mit Nummerierung"/>
    <w:basedOn w:val="Normal"/>
    <w:uiPriority w:val="1"/>
    <w:qFormat/>
    <w:rsid w:val="001E5A75"/>
    <w:pPr>
      <w:numPr>
        <w:numId w:val="8"/>
      </w:numPr>
      <w:spacing w:line="312" w:lineRule="auto"/>
    </w:pPr>
  </w:style>
  <w:style w:type="paragraph" w:customStyle="1" w:styleId="HngEinrckung1">
    <w:name w:val="Häng. Einrückung1"/>
    <w:basedOn w:val="Normal"/>
    <w:uiPriority w:val="1"/>
    <w:qFormat/>
    <w:rsid w:val="001E5A75"/>
    <w:pPr>
      <w:spacing w:line="312" w:lineRule="auto"/>
      <w:ind w:left="567" w:hanging="567"/>
    </w:pPr>
  </w:style>
  <w:style w:type="paragraph" w:customStyle="1" w:styleId="HngEinrckung2">
    <w:name w:val="Häng. Einrückung2"/>
    <w:basedOn w:val="Normal"/>
    <w:uiPriority w:val="1"/>
    <w:qFormat/>
    <w:rsid w:val="001E5A75"/>
    <w:pPr>
      <w:spacing w:line="312" w:lineRule="auto"/>
      <w:ind w:left="1134" w:hanging="567"/>
    </w:pPr>
  </w:style>
  <w:style w:type="paragraph" w:customStyle="1" w:styleId="HngEinrckung3">
    <w:name w:val="Häng. Einrückung3"/>
    <w:basedOn w:val="Normal"/>
    <w:uiPriority w:val="1"/>
    <w:qFormat/>
    <w:rsid w:val="001E5A75"/>
    <w:pPr>
      <w:spacing w:line="312" w:lineRule="auto"/>
      <w:ind w:left="1701" w:hanging="567"/>
    </w:pPr>
  </w:style>
  <w:style w:type="character" w:styleId="Hyperlink">
    <w:name w:val="Hyperlink"/>
    <w:uiPriority w:val="99"/>
    <w:rsid w:val="001E5A75"/>
    <w:rPr>
      <w:rFonts w:cs="Times New Roman"/>
      <w:color w:val="0000FF"/>
      <w:u w:val="single"/>
    </w:rPr>
  </w:style>
  <w:style w:type="paragraph" w:styleId="Header">
    <w:name w:val="header"/>
    <w:basedOn w:val="Normal"/>
    <w:link w:val="HeaderChar"/>
    <w:uiPriority w:val="99"/>
    <w:rsid w:val="001E5A75"/>
    <w:pPr>
      <w:tabs>
        <w:tab w:val="center" w:pos="4536"/>
        <w:tab w:val="right" w:pos="9072"/>
      </w:tabs>
    </w:pPr>
    <w:rPr>
      <w:rFonts w:ascii="Arial" w:eastAsia="Arial" w:hAnsi="Arial"/>
      <w:szCs w:val="20"/>
      <w:lang w:val="x-none" w:eastAsia="de-DE"/>
    </w:rPr>
  </w:style>
  <w:style w:type="character" w:customStyle="1" w:styleId="HeaderChar">
    <w:name w:val="Header Char"/>
    <w:link w:val="Header"/>
    <w:uiPriority w:val="99"/>
    <w:locked/>
    <w:rsid w:val="001E5A75"/>
    <w:rPr>
      <w:rFonts w:ascii="Arial" w:hAnsi="Arial" w:cs="Times New Roman"/>
      <w:sz w:val="20"/>
      <w:szCs w:val="20"/>
      <w:lang w:eastAsia="de-DE"/>
    </w:rPr>
  </w:style>
  <w:style w:type="paragraph" w:customStyle="1" w:styleId="Marginalspalte">
    <w:name w:val="Marginalspalte"/>
    <w:basedOn w:val="Normal"/>
    <w:uiPriority w:val="1"/>
    <w:qFormat/>
    <w:rsid w:val="001E5A75"/>
    <w:pPr>
      <w:framePr w:w="851" w:h="851" w:hSpace="284" w:wrap="around" w:vAnchor="text" w:hAnchor="page" w:y="1"/>
    </w:pPr>
    <w:rPr>
      <w:i/>
      <w:szCs w:val="22"/>
    </w:rPr>
  </w:style>
  <w:style w:type="paragraph" w:customStyle="1" w:styleId="Nummerierungsart1">
    <w:name w:val="Nummerierungsart1"/>
    <w:basedOn w:val="Normal"/>
    <w:uiPriority w:val="1"/>
    <w:qFormat/>
    <w:rsid w:val="001E5A75"/>
    <w:pPr>
      <w:numPr>
        <w:numId w:val="9"/>
      </w:numPr>
    </w:pPr>
  </w:style>
  <w:style w:type="paragraph" w:customStyle="1" w:styleId="Nummerierungsart2">
    <w:name w:val="Nummerierungsart2"/>
    <w:basedOn w:val="Normal"/>
    <w:uiPriority w:val="1"/>
    <w:qFormat/>
    <w:rsid w:val="001E5A75"/>
    <w:pPr>
      <w:numPr>
        <w:numId w:val="10"/>
      </w:numPr>
    </w:pPr>
  </w:style>
  <w:style w:type="paragraph" w:customStyle="1" w:styleId="Nummerierungsart3">
    <w:name w:val="Nummerierungsart3"/>
    <w:basedOn w:val="Normal"/>
    <w:uiPriority w:val="1"/>
    <w:qFormat/>
    <w:rsid w:val="001E5A75"/>
    <w:pPr>
      <w:numPr>
        <w:numId w:val="11"/>
      </w:numPr>
    </w:pPr>
  </w:style>
  <w:style w:type="paragraph" w:customStyle="1" w:styleId="Nummerierungsart4">
    <w:name w:val="Nummerierungsart4"/>
    <w:basedOn w:val="Normal"/>
    <w:uiPriority w:val="1"/>
    <w:qFormat/>
    <w:rsid w:val="001E5A75"/>
    <w:pPr>
      <w:numPr>
        <w:numId w:val="12"/>
      </w:numPr>
    </w:pPr>
  </w:style>
  <w:style w:type="character" w:styleId="PageNumber">
    <w:name w:val="page number"/>
    <w:uiPriority w:val="99"/>
    <w:rsid w:val="001E5A75"/>
    <w:rPr>
      <w:rFonts w:ascii="Arial" w:hAnsi="Arial" w:cs="Times New Roman"/>
      <w:sz w:val="22"/>
    </w:rPr>
  </w:style>
  <w:style w:type="character" w:customStyle="1" w:styleId="Heading3Char1">
    <w:name w:val="Heading 3 Char1"/>
    <w:aliases w:val="Title 2 Char1"/>
    <w:link w:val="Heading3"/>
    <w:uiPriority w:val="99"/>
    <w:locked/>
    <w:rsid w:val="001E5A75"/>
    <w:rPr>
      <w:rFonts w:ascii="Arial" w:hAnsi="Arial" w:cs="Times New Roman"/>
      <w:b/>
      <w:sz w:val="20"/>
      <w:szCs w:val="20"/>
      <w:lang w:eastAsia="de-DE"/>
    </w:rPr>
  </w:style>
  <w:style w:type="paragraph" w:styleId="TOC1">
    <w:name w:val="toc 1"/>
    <w:basedOn w:val="Normal"/>
    <w:next w:val="Normal"/>
    <w:autoRedefine/>
    <w:uiPriority w:val="39"/>
    <w:qFormat/>
    <w:rsid w:val="001E5A75"/>
    <w:pPr>
      <w:tabs>
        <w:tab w:val="left" w:pos="794"/>
        <w:tab w:val="right" w:leader="dot" w:pos="9071"/>
      </w:tabs>
      <w:ind w:left="794" w:hanging="794"/>
    </w:pPr>
    <w:rPr>
      <w:b/>
      <w:smallCaps/>
      <w:noProof/>
      <w:sz w:val="24"/>
    </w:rPr>
  </w:style>
  <w:style w:type="paragraph" w:styleId="TOC2">
    <w:name w:val="toc 2"/>
    <w:basedOn w:val="Normal"/>
    <w:next w:val="Normal"/>
    <w:autoRedefine/>
    <w:uiPriority w:val="39"/>
    <w:qFormat/>
    <w:rsid w:val="00E434A1"/>
    <w:pPr>
      <w:tabs>
        <w:tab w:val="left" w:pos="794"/>
        <w:tab w:val="right" w:leader="dot" w:pos="9071"/>
      </w:tabs>
      <w:spacing w:after="60"/>
      <w:ind w:left="794" w:hanging="794"/>
    </w:pPr>
    <w:rPr>
      <w:b/>
      <w:smallCaps/>
      <w:noProof/>
      <w:szCs w:val="22"/>
    </w:rPr>
  </w:style>
  <w:style w:type="paragraph" w:styleId="TOC3">
    <w:name w:val="toc 3"/>
    <w:basedOn w:val="Normal"/>
    <w:next w:val="Normal"/>
    <w:autoRedefine/>
    <w:uiPriority w:val="39"/>
    <w:qFormat/>
    <w:rsid w:val="001E5A75"/>
    <w:pPr>
      <w:tabs>
        <w:tab w:val="left" w:pos="794"/>
        <w:tab w:val="right" w:leader="dot" w:pos="9072"/>
      </w:tabs>
      <w:spacing w:after="60"/>
      <w:ind w:left="794" w:hanging="794"/>
    </w:pPr>
    <w:rPr>
      <w:smallCaps/>
      <w:noProof/>
    </w:rPr>
  </w:style>
  <w:style w:type="paragraph" w:styleId="TOC4">
    <w:name w:val="toc 4"/>
    <w:basedOn w:val="Normal"/>
    <w:next w:val="Normal"/>
    <w:autoRedefine/>
    <w:uiPriority w:val="39"/>
    <w:rsid w:val="001E5A75"/>
    <w:pPr>
      <w:tabs>
        <w:tab w:val="left" w:pos="794"/>
        <w:tab w:val="right" w:leader="dot" w:pos="9071"/>
      </w:tabs>
      <w:spacing w:after="40"/>
      <w:ind w:left="794" w:hanging="794"/>
    </w:pPr>
    <w:rPr>
      <w:smallCaps/>
      <w:noProof/>
      <w:sz w:val="18"/>
      <w:szCs w:val="18"/>
    </w:rPr>
  </w:style>
  <w:style w:type="paragraph" w:styleId="TOC5">
    <w:name w:val="toc 5"/>
    <w:basedOn w:val="Normal"/>
    <w:next w:val="Normal"/>
    <w:autoRedefine/>
    <w:uiPriority w:val="39"/>
    <w:rsid w:val="001E5A75"/>
    <w:pPr>
      <w:tabs>
        <w:tab w:val="left" w:pos="794"/>
        <w:tab w:val="right" w:leader="dot" w:pos="9071"/>
      </w:tabs>
      <w:spacing w:after="40"/>
      <w:ind w:left="794" w:hanging="794"/>
    </w:pPr>
    <w:rPr>
      <w:smallCaps/>
      <w:noProof/>
      <w:sz w:val="18"/>
      <w:szCs w:val="18"/>
    </w:rPr>
  </w:style>
  <w:style w:type="paragraph" w:styleId="TOC6">
    <w:name w:val="toc 6"/>
    <w:basedOn w:val="Normal"/>
    <w:next w:val="Normal"/>
    <w:autoRedefine/>
    <w:uiPriority w:val="39"/>
    <w:rsid w:val="001E5A75"/>
    <w:pPr>
      <w:tabs>
        <w:tab w:val="left" w:pos="2058"/>
        <w:tab w:val="right" w:leader="dot" w:pos="9071"/>
      </w:tabs>
      <w:ind w:left="1134" w:hanging="1134"/>
    </w:pPr>
    <w:rPr>
      <w:noProof/>
      <w:sz w:val="16"/>
    </w:rPr>
  </w:style>
  <w:style w:type="paragraph" w:styleId="TOC7">
    <w:name w:val="toc 7"/>
    <w:basedOn w:val="Normal"/>
    <w:next w:val="Normal"/>
    <w:autoRedefine/>
    <w:uiPriority w:val="39"/>
    <w:rsid w:val="001E5A75"/>
    <w:pPr>
      <w:tabs>
        <w:tab w:val="right" w:leader="dot" w:pos="9071"/>
      </w:tabs>
      <w:ind w:left="1134" w:hanging="1134"/>
    </w:pPr>
    <w:rPr>
      <w:sz w:val="16"/>
    </w:rPr>
  </w:style>
  <w:style w:type="paragraph" w:styleId="TOC8">
    <w:name w:val="toc 8"/>
    <w:basedOn w:val="Normal"/>
    <w:next w:val="Normal"/>
    <w:autoRedefine/>
    <w:uiPriority w:val="39"/>
    <w:rsid w:val="001E5A75"/>
    <w:pPr>
      <w:tabs>
        <w:tab w:val="left" w:pos="2758"/>
        <w:tab w:val="right" w:leader="dot" w:pos="9071"/>
      </w:tabs>
      <w:ind w:left="1361" w:hanging="1361"/>
    </w:pPr>
    <w:rPr>
      <w:noProof/>
      <w:sz w:val="16"/>
    </w:rPr>
  </w:style>
  <w:style w:type="paragraph" w:styleId="TOC9">
    <w:name w:val="toc 9"/>
    <w:basedOn w:val="Normal"/>
    <w:next w:val="Normal"/>
    <w:autoRedefine/>
    <w:uiPriority w:val="39"/>
    <w:rsid w:val="001E5A75"/>
    <w:pPr>
      <w:tabs>
        <w:tab w:val="right" w:leader="dot" w:pos="9071"/>
      </w:tabs>
      <w:ind w:left="1361" w:hanging="1361"/>
    </w:pPr>
    <w:rPr>
      <w:sz w:val="16"/>
    </w:rPr>
  </w:style>
  <w:style w:type="paragraph" w:styleId="Quote">
    <w:name w:val="Quote"/>
    <w:basedOn w:val="Normal"/>
    <w:next w:val="Normal"/>
    <w:link w:val="QuoteChar"/>
    <w:uiPriority w:val="29"/>
    <w:qFormat/>
    <w:rsid w:val="001E5A75"/>
    <w:rPr>
      <w:rFonts w:ascii="Arial" w:eastAsia="Arial" w:hAnsi="Arial"/>
      <w:i/>
      <w:iCs/>
      <w:color w:val="000000"/>
      <w:szCs w:val="20"/>
      <w:lang w:val="x-none" w:eastAsia="de-DE"/>
    </w:rPr>
  </w:style>
  <w:style w:type="character" w:customStyle="1" w:styleId="QuoteChar">
    <w:name w:val="Quote Char"/>
    <w:link w:val="Quote"/>
    <w:uiPriority w:val="29"/>
    <w:locked/>
    <w:rsid w:val="001E5A75"/>
    <w:rPr>
      <w:rFonts w:ascii="Arial" w:hAnsi="Arial" w:cs="Times New Roman"/>
      <w:i/>
      <w:iCs/>
      <w:color w:val="000000"/>
      <w:sz w:val="20"/>
      <w:szCs w:val="20"/>
      <w:lang w:eastAsia="de-DE"/>
    </w:rPr>
  </w:style>
  <w:style w:type="paragraph" w:styleId="TOCHeading">
    <w:name w:val="TOC Heading"/>
    <w:basedOn w:val="Heading1"/>
    <w:next w:val="Normal"/>
    <w:uiPriority w:val="39"/>
    <w:qFormat/>
    <w:rsid w:val="001E5A75"/>
    <w:pPr>
      <w:keepLines/>
      <w:spacing w:before="480" w:line="311" w:lineRule="auto"/>
      <w:outlineLvl w:val="9"/>
    </w:pPr>
    <w:rPr>
      <w:rFonts w:ascii="Arial" w:hAnsi="Arial"/>
      <w:bCs/>
      <w:color w:val="4B67A3"/>
      <w:szCs w:val="28"/>
    </w:rPr>
  </w:style>
  <w:style w:type="paragraph" w:styleId="EndnoteText">
    <w:name w:val="endnote text"/>
    <w:basedOn w:val="Normal"/>
    <w:link w:val="EndnoteTextChar"/>
    <w:uiPriority w:val="1"/>
    <w:rsid w:val="001E5A75"/>
    <w:pPr>
      <w:spacing w:line="180" w:lineRule="exact"/>
      <w:ind w:left="142" w:hanging="142"/>
    </w:pPr>
    <w:rPr>
      <w:rFonts w:ascii="Arial" w:eastAsia="Arial" w:hAnsi="Arial"/>
      <w:szCs w:val="20"/>
      <w:lang w:val="x-none" w:eastAsia="de-DE"/>
    </w:rPr>
  </w:style>
  <w:style w:type="character" w:customStyle="1" w:styleId="EndnoteTextChar">
    <w:name w:val="Endnote Text Char"/>
    <w:link w:val="EndnoteText"/>
    <w:uiPriority w:val="1"/>
    <w:locked/>
    <w:rsid w:val="001E5A75"/>
    <w:rPr>
      <w:rFonts w:ascii="Arial" w:hAnsi="Arial" w:cs="Times New Roman"/>
      <w:sz w:val="20"/>
      <w:szCs w:val="20"/>
      <w:lang w:eastAsia="de-DE"/>
    </w:rPr>
  </w:style>
  <w:style w:type="character" w:styleId="EndnoteReference">
    <w:name w:val="endnote reference"/>
    <w:uiPriority w:val="1"/>
    <w:rsid w:val="001E5A75"/>
    <w:rPr>
      <w:rFonts w:ascii="Arial" w:hAnsi="Arial" w:cs="Times New Roman"/>
      <w:color w:val="auto"/>
      <w:position w:val="4"/>
      <w:sz w:val="12"/>
      <w:vertAlign w:val="baseline"/>
    </w:rPr>
  </w:style>
  <w:style w:type="paragraph" w:customStyle="1" w:styleId="Ballontekst">
    <w:name w:val="Ballontekst"/>
    <w:basedOn w:val="Normal"/>
    <w:uiPriority w:val="99"/>
    <w:semiHidden/>
    <w:rsid w:val="00884FEB"/>
    <w:rPr>
      <w:rFonts w:ascii="Tahoma" w:hAnsi="Tahoma" w:cs="Tahoma"/>
      <w:sz w:val="16"/>
      <w:szCs w:val="16"/>
    </w:rPr>
  </w:style>
  <w:style w:type="character" w:styleId="CommentReference">
    <w:name w:val="annotation reference"/>
    <w:uiPriority w:val="99"/>
    <w:rsid w:val="00884FEB"/>
    <w:rPr>
      <w:rFonts w:cs="Times New Roman"/>
      <w:sz w:val="16"/>
      <w:szCs w:val="16"/>
    </w:rPr>
  </w:style>
  <w:style w:type="paragraph" w:styleId="CommentText">
    <w:name w:val="annotation text"/>
    <w:basedOn w:val="Normal"/>
    <w:link w:val="CommentTextChar"/>
    <w:uiPriority w:val="99"/>
    <w:rsid w:val="00884FEB"/>
    <w:rPr>
      <w:rFonts w:eastAsia="Arial"/>
      <w:szCs w:val="20"/>
      <w:lang w:val="en-US" w:eastAsia="x-none"/>
    </w:rPr>
  </w:style>
  <w:style w:type="character" w:customStyle="1" w:styleId="CommentTextChar">
    <w:name w:val="Comment Text Char"/>
    <w:link w:val="CommentText"/>
    <w:uiPriority w:val="99"/>
    <w:locked/>
    <w:rsid w:val="00884FEB"/>
    <w:rPr>
      <w:rFonts w:ascii="Verdana" w:hAnsi="Verdana" w:cs="Times New Roman"/>
      <w:sz w:val="20"/>
      <w:szCs w:val="20"/>
      <w:lang w:val="en-US"/>
    </w:rPr>
  </w:style>
  <w:style w:type="paragraph" w:customStyle="1" w:styleId="Onderwerpvanopmerking">
    <w:name w:val="Onderwerp van opmerking"/>
    <w:basedOn w:val="CommentText"/>
    <w:next w:val="CommentText"/>
    <w:uiPriority w:val="99"/>
    <w:semiHidden/>
    <w:rsid w:val="00884FEB"/>
    <w:rPr>
      <w:b/>
      <w:bCs/>
    </w:rPr>
  </w:style>
  <w:style w:type="character" w:styleId="FollowedHyperlink">
    <w:name w:val="FollowedHyperlink"/>
    <w:uiPriority w:val="99"/>
    <w:rsid w:val="00884FEB"/>
    <w:rPr>
      <w:rFonts w:cs="Times New Roman"/>
      <w:color w:val="606420"/>
      <w:u w:val="single"/>
    </w:rPr>
  </w:style>
  <w:style w:type="paragraph" w:styleId="BalloonText">
    <w:name w:val="Balloon Text"/>
    <w:basedOn w:val="Normal"/>
    <w:link w:val="BalloonTextChar"/>
    <w:uiPriority w:val="99"/>
    <w:rsid w:val="00884FEB"/>
    <w:rPr>
      <w:rFonts w:ascii="Tahoma" w:eastAsia="Arial" w:hAnsi="Tahoma"/>
      <w:sz w:val="16"/>
      <w:szCs w:val="16"/>
      <w:lang w:val="en-US" w:eastAsia="x-none"/>
    </w:rPr>
  </w:style>
  <w:style w:type="character" w:customStyle="1" w:styleId="BalloonTextChar">
    <w:name w:val="Balloon Text Char"/>
    <w:link w:val="BalloonText"/>
    <w:uiPriority w:val="99"/>
    <w:locked/>
    <w:rsid w:val="00884FEB"/>
    <w:rPr>
      <w:rFonts w:ascii="Tahoma" w:hAnsi="Tahoma" w:cs="Tahoma"/>
      <w:sz w:val="16"/>
      <w:szCs w:val="16"/>
      <w:lang w:val="en-US"/>
    </w:rPr>
  </w:style>
  <w:style w:type="paragraph" w:styleId="CommentSubject">
    <w:name w:val="annotation subject"/>
    <w:basedOn w:val="CommentText"/>
    <w:next w:val="CommentText"/>
    <w:link w:val="CommentSubjectChar"/>
    <w:uiPriority w:val="99"/>
    <w:rsid w:val="00884FEB"/>
    <w:rPr>
      <w:b/>
      <w:bCs/>
    </w:rPr>
  </w:style>
  <w:style w:type="character" w:customStyle="1" w:styleId="CommentSubjectChar">
    <w:name w:val="Comment Subject Char"/>
    <w:link w:val="CommentSubject"/>
    <w:uiPriority w:val="99"/>
    <w:locked/>
    <w:rsid w:val="00884FEB"/>
    <w:rPr>
      <w:rFonts w:ascii="Verdana" w:hAnsi="Verdana" w:cs="Times New Roman"/>
      <w:b/>
      <w:bCs/>
      <w:sz w:val="20"/>
      <w:szCs w:val="20"/>
      <w:lang w:val="en-US"/>
    </w:rPr>
  </w:style>
  <w:style w:type="table" w:styleId="TableGrid">
    <w:name w:val="Table Grid"/>
    <w:aliases w:val="Tabla CUADROS"/>
    <w:basedOn w:val="TableNormal"/>
    <w:uiPriority w:val="59"/>
    <w:rsid w:val="00884FEB"/>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vorlageberschrift4">
    <w:name w:val="Formatvorlage Überschrift 4"/>
    <w:basedOn w:val="Heading4"/>
    <w:link w:val="Formatvorlageberschrift4Char"/>
    <w:uiPriority w:val="99"/>
    <w:rsid w:val="00884FEB"/>
    <w:pPr>
      <w:spacing w:before="240" w:after="60"/>
    </w:pPr>
    <w:rPr>
      <w:iCs/>
      <w:szCs w:val="28"/>
    </w:rPr>
  </w:style>
  <w:style w:type="character" w:customStyle="1" w:styleId="Formatvorlageberschrift4Char">
    <w:name w:val="Formatvorlage Überschrift 4 Char"/>
    <w:link w:val="Formatvorlageberschrift4"/>
    <w:uiPriority w:val="99"/>
    <w:locked/>
    <w:rsid w:val="00884FEB"/>
    <w:rPr>
      <w:rFonts w:ascii="Verdana" w:eastAsia="Times New Roman" w:hAnsi="Verdana"/>
      <w:b/>
      <w:iCs/>
      <w:szCs w:val="28"/>
      <w:u w:val="single"/>
      <w:lang w:eastAsia="en-US" w:bidi="ar-SA"/>
    </w:rPr>
  </w:style>
  <w:style w:type="paragraph" w:customStyle="1" w:styleId="Instructionsberschrift1">
    <w:name w:val="Instructions Überschrift 1"/>
    <w:basedOn w:val="Heading1"/>
    <w:rsid w:val="00884FEB"/>
    <w:pPr>
      <w:tabs>
        <w:tab w:val="num" w:pos="540"/>
      </w:tabs>
      <w:spacing w:before="240"/>
      <w:ind w:left="540" w:hanging="540"/>
    </w:pPr>
    <w:rPr>
      <w:b w:val="0"/>
      <w:kern w:val="32"/>
    </w:rPr>
  </w:style>
  <w:style w:type="paragraph" w:customStyle="1" w:styleId="Instructionsberschrift2">
    <w:name w:val="Instructions Überschrift 2"/>
    <w:basedOn w:val="Heading2"/>
    <w:rsid w:val="008C122C"/>
    <w:pPr>
      <w:numPr>
        <w:numId w:val="13"/>
      </w:numPr>
      <w:spacing w:after="240"/>
    </w:pPr>
    <w:rPr>
      <w:rFonts w:cs="Arial"/>
      <w:b w:val="0"/>
      <w:sz w:val="20"/>
    </w:rPr>
  </w:style>
  <w:style w:type="paragraph" w:customStyle="1" w:styleId="Instructionsberschrift3">
    <w:name w:val="Instructions Überschrift 3"/>
    <w:basedOn w:val="Heading3"/>
    <w:link w:val="Instructionsberschrift3Zchn"/>
    <w:rsid w:val="006746DB"/>
    <w:pPr>
      <w:numPr>
        <w:numId w:val="14"/>
      </w:numPr>
      <w:spacing w:before="240" w:after="60" w:line="360" w:lineRule="auto"/>
    </w:pPr>
    <w:rPr>
      <w:rFonts w:ascii="Verdana" w:eastAsia="Times New Roman" w:hAnsi="Verdana"/>
      <w:szCs w:val="26"/>
      <w:u w:val="single"/>
      <w:lang w:val="en-GB" w:eastAsia="en-US"/>
    </w:rPr>
  </w:style>
  <w:style w:type="character" w:customStyle="1" w:styleId="Instructionsberschrift3Zchn">
    <w:name w:val="Instructions Überschrift 3 Zchn"/>
    <w:link w:val="Instructionsberschrift3"/>
    <w:locked/>
    <w:rsid w:val="006746DB"/>
    <w:rPr>
      <w:rFonts w:ascii="Verdana" w:eastAsia="Times New Roman" w:hAnsi="Verdana"/>
      <w:b/>
      <w:szCs w:val="26"/>
      <w:u w:val="single"/>
      <w:lang w:eastAsia="en-US" w:bidi="ar-SA"/>
    </w:rPr>
  </w:style>
  <w:style w:type="paragraph" w:customStyle="1" w:styleId="Instructionsberschrift4">
    <w:name w:val="Instructions Überschrift 4"/>
    <w:basedOn w:val="Heading4"/>
    <w:next w:val="InstructionsText"/>
    <w:link w:val="Instructionsberschrift4Char"/>
    <w:uiPriority w:val="99"/>
    <w:rsid w:val="00884FEB"/>
    <w:pPr>
      <w:tabs>
        <w:tab w:val="left" w:pos="1520"/>
      </w:tabs>
      <w:autoSpaceDE w:val="0"/>
      <w:autoSpaceDN w:val="0"/>
      <w:adjustRightInd w:val="0"/>
      <w:spacing w:before="240" w:after="240"/>
      <w:ind w:left="970" w:hanging="970"/>
    </w:pPr>
    <w:rPr>
      <w:bCs/>
    </w:rPr>
  </w:style>
  <w:style w:type="paragraph" w:customStyle="1" w:styleId="InstructionsText">
    <w:name w:val="Instructions Text"/>
    <w:basedOn w:val="Normal"/>
    <w:link w:val="InstructionsTextChar"/>
    <w:autoRedefine/>
    <w:rsid w:val="00030E10"/>
    <w:pPr>
      <w:spacing w:before="0"/>
    </w:pPr>
    <w:rPr>
      <w:rFonts w:ascii="Times New Roman" w:hAnsi="Times New Roman"/>
      <w:sz w:val="24"/>
      <w:lang w:eastAsia="de-DE"/>
    </w:rPr>
  </w:style>
  <w:style w:type="character" w:customStyle="1" w:styleId="Instructionsberschrift4Char">
    <w:name w:val="Instructions Überschrift 4 Char"/>
    <w:link w:val="Instructionsberschrift4"/>
    <w:uiPriority w:val="99"/>
    <w:locked/>
    <w:rsid w:val="00884FEB"/>
    <w:rPr>
      <w:rFonts w:ascii="Verdana" w:eastAsia="Times New Roman" w:hAnsi="Verdana"/>
      <w:b/>
      <w:bCs/>
      <w:szCs w:val="24"/>
      <w:u w:val="single"/>
      <w:lang w:eastAsia="en-US" w:bidi="ar-SA"/>
    </w:rPr>
  </w:style>
  <w:style w:type="character" w:customStyle="1" w:styleId="InstructionsTabelleberschrift">
    <w:name w:val="Instructions Tabelle Überschrift"/>
    <w:qFormat/>
    <w:rsid w:val="00884FEB"/>
    <w:rPr>
      <w:rFonts w:ascii="Verdana" w:hAnsi="Verdana" w:cs="Times New Roman"/>
      <w:b/>
      <w:bCs/>
      <w:sz w:val="20"/>
      <w:u w:val="single"/>
    </w:rPr>
  </w:style>
  <w:style w:type="character" w:customStyle="1" w:styleId="InstructionsTabelleText">
    <w:name w:val="Instructions Tabelle Text"/>
    <w:rsid w:val="00884FEB"/>
    <w:rPr>
      <w:rFonts w:ascii="Verdana" w:hAnsi="Verdana" w:cs="Times New Roman"/>
      <w:sz w:val="20"/>
    </w:rPr>
  </w:style>
  <w:style w:type="character" w:customStyle="1" w:styleId="FormatvorlageInstructionsTabelleText">
    <w:name w:val="Formatvorlage Instructions Tabelle Text"/>
    <w:uiPriority w:val="99"/>
    <w:qFormat/>
    <w:rsid w:val="00412D44"/>
    <w:rPr>
      <w:rFonts w:ascii="Verdana" w:hAnsi="Verdana" w:cs="Times New Roman"/>
      <w:bCs/>
      <w:sz w:val="20"/>
      <w:u w:val="none"/>
    </w:rPr>
  </w:style>
  <w:style w:type="paragraph" w:customStyle="1" w:styleId="FormatvorlageInstructionsberschrift3Links0cmErsteZeile0cm">
    <w:name w:val="Formatvorlage Instructions Überschrift 3 + Links:  0 cm Erste Zeile:  0 cm"/>
    <w:basedOn w:val="Instructionsberschrift3"/>
    <w:next w:val="Instructionsberschrift3"/>
    <w:uiPriority w:val="99"/>
    <w:rsid w:val="00884FEB"/>
    <w:pPr>
      <w:ind w:left="0" w:firstLine="0"/>
    </w:pPr>
    <w:rPr>
      <w:szCs w:val="20"/>
    </w:rPr>
  </w:style>
  <w:style w:type="paragraph" w:customStyle="1" w:styleId="Texte2">
    <w:name w:val="Texte 2"/>
    <w:basedOn w:val="Normal"/>
    <w:uiPriority w:val="99"/>
    <w:rsid w:val="00884FEB"/>
    <w:pPr>
      <w:spacing w:after="0"/>
      <w:ind w:left="567"/>
    </w:pPr>
    <w:rPr>
      <w:sz w:val="22"/>
      <w:szCs w:val="20"/>
      <w:lang w:eastAsia="fr-FR"/>
    </w:rPr>
  </w:style>
  <w:style w:type="paragraph" w:customStyle="1" w:styleId="Prrafodelista1">
    <w:name w:val="Párrafo de lista1"/>
    <w:basedOn w:val="Normal"/>
    <w:uiPriority w:val="99"/>
    <w:rsid w:val="00884FEB"/>
    <w:pPr>
      <w:ind w:left="720"/>
    </w:pPr>
  </w:style>
  <w:style w:type="paragraph" w:customStyle="1" w:styleId="Prrafodelista2">
    <w:name w:val="Párrafo de lista2"/>
    <w:basedOn w:val="Normal"/>
    <w:uiPriority w:val="99"/>
    <w:rsid w:val="00884FEB"/>
    <w:pPr>
      <w:ind w:left="708"/>
    </w:pPr>
  </w:style>
  <w:style w:type="paragraph" w:styleId="PlainText">
    <w:name w:val="Plain Text"/>
    <w:basedOn w:val="Normal"/>
    <w:link w:val="PlainTextChar"/>
    <w:uiPriority w:val="99"/>
    <w:rsid w:val="00884FEB"/>
    <w:pPr>
      <w:spacing w:before="0" w:after="0"/>
      <w:jc w:val="left"/>
    </w:pPr>
    <w:rPr>
      <w:rFonts w:eastAsia="Arial"/>
      <w:szCs w:val="20"/>
      <w:lang w:val="es-ES_tradnl" w:eastAsia="es-ES_tradnl"/>
    </w:rPr>
  </w:style>
  <w:style w:type="character" w:customStyle="1" w:styleId="PlainTextChar">
    <w:name w:val="Plain Text Char"/>
    <w:link w:val="PlainText"/>
    <w:uiPriority w:val="99"/>
    <w:locked/>
    <w:rsid w:val="00884FEB"/>
    <w:rPr>
      <w:rFonts w:ascii="Verdana" w:hAnsi="Verdana" w:cs="Times New Roman"/>
      <w:sz w:val="20"/>
      <w:szCs w:val="20"/>
      <w:lang w:val="es-ES_tradnl" w:eastAsia="es-ES_tradnl"/>
    </w:rPr>
  </w:style>
  <w:style w:type="paragraph" w:customStyle="1" w:styleId="Listenabsatz1">
    <w:name w:val="Listenabsatz1"/>
    <w:basedOn w:val="Normal"/>
    <w:uiPriority w:val="99"/>
    <w:rsid w:val="00884FEB"/>
    <w:pPr>
      <w:ind w:left="708"/>
    </w:pPr>
  </w:style>
  <w:style w:type="character" w:customStyle="1" w:styleId="InstructionsTextChar">
    <w:name w:val="Instructions Text Char"/>
    <w:link w:val="InstructionsText"/>
    <w:locked/>
    <w:rsid w:val="00030E10"/>
    <w:rPr>
      <w:rFonts w:ascii="Times New Roman" w:eastAsia="Times New Roman" w:hAnsi="Times New Roman"/>
      <w:sz w:val="24"/>
      <w:szCs w:val="24"/>
      <w:lang w:eastAsia="de-DE" w:bidi="ar-SA"/>
    </w:rPr>
  </w:style>
  <w:style w:type="paragraph" w:styleId="Revision">
    <w:name w:val="Revision"/>
    <w:hidden/>
    <w:uiPriority w:val="99"/>
    <w:semiHidden/>
    <w:rsid w:val="00884FEB"/>
    <w:rPr>
      <w:rFonts w:ascii="Verdana" w:eastAsia="Times New Roman" w:hAnsi="Verdana"/>
      <w:szCs w:val="24"/>
      <w:lang w:val="en-US" w:eastAsia="en-US" w:bidi="ar-SA"/>
    </w:rPr>
  </w:style>
  <w:style w:type="paragraph" w:styleId="ListParagraph">
    <w:name w:val="List Paragraph"/>
    <w:basedOn w:val="Normal"/>
    <w:link w:val="ListParagraphChar"/>
    <w:uiPriority w:val="34"/>
    <w:qFormat/>
    <w:rsid w:val="00884FEB"/>
    <w:pPr>
      <w:ind w:left="708"/>
    </w:pPr>
  </w:style>
  <w:style w:type="character" w:styleId="PlaceholderText">
    <w:name w:val="Placeholder Text"/>
    <w:uiPriority w:val="99"/>
    <w:semiHidden/>
    <w:rsid w:val="00D946DB"/>
    <w:rPr>
      <w:rFonts w:cs="Times New Roman"/>
      <w:color w:val="808080"/>
    </w:rPr>
  </w:style>
  <w:style w:type="paragraph" w:customStyle="1" w:styleId="InstructionsText2">
    <w:name w:val="Instructions Text 2"/>
    <w:basedOn w:val="InstructionsText"/>
    <w:qFormat/>
    <w:rsid w:val="008F50DF"/>
    <w:pPr>
      <w:numPr>
        <w:numId w:val="15"/>
      </w:numPr>
      <w:spacing w:after="240"/>
    </w:pPr>
  </w:style>
  <w:style w:type="character" w:customStyle="1" w:styleId="Instructionsberschrift3Char">
    <w:name w:val="Instructions Überschrift 3 Char"/>
    <w:locked/>
    <w:rsid w:val="003B3DBB"/>
    <w:rPr>
      <w:rFonts w:ascii="Verdana" w:hAnsi="Verdana" w:cs="Arial"/>
      <w:b/>
      <w:bCs/>
      <w:sz w:val="26"/>
      <w:szCs w:val="26"/>
      <w:u w:val="single"/>
      <w:lang w:val="en-US" w:eastAsia="en-US" w:bidi="ar-SA"/>
    </w:rPr>
  </w:style>
  <w:style w:type="paragraph" w:customStyle="1" w:styleId="CM4">
    <w:name w:val="CM4"/>
    <w:basedOn w:val="Normal"/>
    <w:next w:val="Normal"/>
    <w:uiPriority w:val="99"/>
    <w:rsid w:val="008815DE"/>
    <w:pPr>
      <w:autoSpaceDE w:val="0"/>
      <w:autoSpaceDN w:val="0"/>
      <w:adjustRightInd w:val="0"/>
      <w:spacing w:before="0" w:after="0"/>
      <w:jc w:val="left"/>
    </w:pPr>
    <w:rPr>
      <w:rFonts w:ascii="Times New Roman" w:eastAsia="Arial" w:hAnsi="Times New Roman"/>
      <w:sz w:val="24"/>
      <w:lang w:val="de-DE"/>
    </w:rPr>
  </w:style>
  <w:style w:type="paragraph" w:styleId="DocumentMap">
    <w:name w:val="Document Map"/>
    <w:basedOn w:val="Normal"/>
    <w:link w:val="DocumentMapChar"/>
    <w:uiPriority w:val="99"/>
    <w:semiHidden/>
    <w:rsid w:val="0088630E"/>
    <w:pPr>
      <w:spacing w:before="0" w:after="0"/>
    </w:pPr>
    <w:rPr>
      <w:rFonts w:ascii="Tahoma" w:eastAsia="Arial" w:hAnsi="Tahoma"/>
      <w:sz w:val="16"/>
      <w:szCs w:val="16"/>
      <w:lang w:val="en-US" w:eastAsia="x-none"/>
    </w:rPr>
  </w:style>
  <w:style w:type="character" w:customStyle="1" w:styleId="DocumentMapChar">
    <w:name w:val="Document Map Char"/>
    <w:link w:val="DocumentMap"/>
    <w:uiPriority w:val="99"/>
    <w:semiHidden/>
    <w:locked/>
    <w:rsid w:val="0088630E"/>
    <w:rPr>
      <w:rFonts w:ascii="Tahoma" w:hAnsi="Tahoma" w:cs="Tahoma"/>
      <w:sz w:val="16"/>
      <w:szCs w:val="16"/>
      <w:lang w:val="en-US"/>
    </w:rPr>
  </w:style>
  <w:style w:type="paragraph" w:customStyle="1" w:styleId="Titrearticle">
    <w:name w:val="Titre article"/>
    <w:basedOn w:val="Normal"/>
    <w:next w:val="Normal"/>
    <w:rsid w:val="00C87CEE"/>
    <w:pPr>
      <w:keepNext/>
      <w:spacing w:before="360"/>
      <w:jc w:val="center"/>
    </w:pPr>
    <w:rPr>
      <w:rFonts w:ascii="Times New Roman" w:hAnsi="Times New Roman"/>
      <w:i/>
      <w:sz w:val="24"/>
      <w:lang w:eastAsia="de-DE"/>
    </w:rPr>
  </w:style>
  <w:style w:type="paragraph" w:customStyle="1" w:styleId="Baseparagraphnumbered">
    <w:name w:val="Base paragraph numbered"/>
    <w:basedOn w:val="Normal"/>
    <w:link w:val="BaseparagraphnumberedChar"/>
    <w:qFormat/>
    <w:rsid w:val="00C87CEE"/>
    <w:pPr>
      <w:numPr>
        <w:numId w:val="19"/>
      </w:numPr>
      <w:spacing w:before="0" w:after="240"/>
    </w:pPr>
    <w:rPr>
      <w:rFonts w:ascii="Times New Roman" w:eastAsia="Arial" w:hAnsi="Times New Roman"/>
      <w:sz w:val="24"/>
      <w:szCs w:val="20"/>
      <w:lang w:eastAsia="en-GB"/>
    </w:rPr>
  </w:style>
  <w:style w:type="character" w:customStyle="1" w:styleId="BaseparagraphnumberedChar">
    <w:name w:val="Base paragraph numbered Char"/>
    <w:link w:val="Baseparagraphnumbered"/>
    <w:locked/>
    <w:rsid w:val="00C87CEE"/>
    <w:rPr>
      <w:rFonts w:ascii="Times New Roman" w:hAnsi="Times New Roman"/>
      <w:sz w:val="24"/>
      <w:lang w:bidi="ar-SA"/>
    </w:rPr>
  </w:style>
  <w:style w:type="character" w:customStyle="1" w:styleId="NumPar1Char">
    <w:name w:val="NumPar 1 Char"/>
    <w:link w:val="NumPar1"/>
    <w:uiPriority w:val="99"/>
    <w:locked/>
    <w:rsid w:val="00D34F75"/>
    <w:rPr>
      <w:rFonts w:cs="Times New Roman"/>
      <w:sz w:val="24"/>
      <w:szCs w:val="24"/>
      <w:lang w:val="en-GB" w:eastAsia="de-DE"/>
    </w:rPr>
  </w:style>
  <w:style w:type="paragraph" w:customStyle="1" w:styleId="NumPar1">
    <w:name w:val="NumPar 1"/>
    <w:basedOn w:val="Normal"/>
    <w:next w:val="Normal"/>
    <w:link w:val="NumPar1Char"/>
    <w:uiPriority w:val="99"/>
    <w:rsid w:val="00D34F75"/>
    <w:pPr>
      <w:tabs>
        <w:tab w:val="num" w:pos="850"/>
      </w:tabs>
      <w:ind w:left="850" w:hanging="850"/>
    </w:pPr>
    <w:rPr>
      <w:rFonts w:ascii="Arial" w:eastAsia="Arial" w:hAnsi="Arial"/>
      <w:sz w:val="24"/>
      <w:lang w:eastAsia="de-DE"/>
    </w:rPr>
  </w:style>
  <w:style w:type="character" w:customStyle="1" w:styleId="Point1letterChar">
    <w:name w:val="Point 1 (letter) Char"/>
    <w:link w:val="Point1letter"/>
    <w:uiPriority w:val="99"/>
    <w:locked/>
    <w:rsid w:val="00D34F75"/>
    <w:rPr>
      <w:rFonts w:cs="Times New Roman"/>
      <w:sz w:val="24"/>
      <w:szCs w:val="24"/>
      <w:lang w:val="en-GB" w:eastAsia="en-US"/>
    </w:rPr>
  </w:style>
  <w:style w:type="paragraph" w:customStyle="1" w:styleId="Point1letter">
    <w:name w:val="Point 1 (letter)"/>
    <w:basedOn w:val="Normal"/>
    <w:link w:val="Point1letterChar"/>
    <w:uiPriority w:val="99"/>
    <w:rsid w:val="00D34F75"/>
    <w:pPr>
      <w:tabs>
        <w:tab w:val="num" w:pos="360"/>
      </w:tabs>
      <w:ind w:left="1417" w:hanging="567"/>
    </w:pPr>
    <w:rPr>
      <w:rFonts w:ascii="Arial" w:eastAsia="Arial" w:hAnsi="Arial"/>
      <w:sz w:val="24"/>
    </w:rPr>
  </w:style>
  <w:style w:type="numbering" w:customStyle="1" w:styleId="Formatvorlage2">
    <w:name w:val="Formatvorlage2"/>
    <w:uiPriority w:val="99"/>
    <w:rsid w:val="00BF60F7"/>
    <w:pPr>
      <w:numPr>
        <w:numId w:val="6"/>
      </w:numPr>
    </w:pPr>
  </w:style>
  <w:style w:type="numbering" w:customStyle="1" w:styleId="Formatvorlage3">
    <w:name w:val="Formatvorlage3"/>
    <w:uiPriority w:val="99"/>
    <w:rsid w:val="00BF60F7"/>
    <w:pPr>
      <w:numPr>
        <w:numId w:val="16"/>
      </w:numPr>
    </w:pPr>
  </w:style>
  <w:style w:type="numbering" w:customStyle="1" w:styleId="Formatvorlage1">
    <w:name w:val="Formatvorlage1"/>
    <w:uiPriority w:val="99"/>
    <w:rsid w:val="00BF60F7"/>
    <w:pPr>
      <w:numPr>
        <w:numId w:val="5"/>
      </w:numPr>
    </w:pPr>
  </w:style>
  <w:style w:type="numbering" w:customStyle="1" w:styleId="Formatvorlage4">
    <w:name w:val="Formatvorlage4"/>
    <w:uiPriority w:val="99"/>
    <w:rsid w:val="00BF60F7"/>
    <w:pPr>
      <w:numPr>
        <w:numId w:val="18"/>
      </w:numPr>
    </w:pPr>
  </w:style>
  <w:style w:type="paragraph" w:customStyle="1" w:styleId="ListParagraph1">
    <w:name w:val="List Paragraph1"/>
    <w:basedOn w:val="Normal"/>
    <w:uiPriority w:val="99"/>
    <w:qFormat/>
    <w:rsid w:val="001C7AB7"/>
    <w:pPr>
      <w:ind w:left="708"/>
    </w:pPr>
  </w:style>
  <w:style w:type="paragraph" w:customStyle="1" w:styleId="Anfhrungszeichen1">
    <w:name w:val="Anführungszeichen1"/>
    <w:basedOn w:val="Normal"/>
    <w:next w:val="Normal"/>
    <w:link w:val="AnfhrungszeichenZchn"/>
    <w:uiPriority w:val="29"/>
    <w:semiHidden/>
    <w:rsid w:val="000B0B09"/>
    <w:rPr>
      <w:i/>
      <w:iCs/>
      <w:color w:val="000000"/>
    </w:rPr>
  </w:style>
  <w:style w:type="character" w:customStyle="1" w:styleId="AnfhrungszeichenZchn">
    <w:name w:val="Anführungszeichen Zchn"/>
    <w:link w:val="Anfhrungszeichen1"/>
    <w:uiPriority w:val="29"/>
    <w:semiHidden/>
    <w:rsid w:val="000B0B09"/>
    <w:rPr>
      <w:rFonts w:ascii="Verdana" w:eastAsia="Times New Roman" w:hAnsi="Verdana"/>
      <w:i/>
      <w:iCs/>
      <w:color w:val="000000"/>
      <w:sz w:val="20"/>
      <w:szCs w:val="24"/>
      <w:lang w:val="en-GB" w:eastAsia="en-US"/>
    </w:rPr>
  </w:style>
  <w:style w:type="paragraph" w:customStyle="1" w:styleId="Inhaltsverzeichnisberschrift1">
    <w:name w:val="Inhaltsverzeichnisüberschrift1"/>
    <w:basedOn w:val="Heading1"/>
    <w:next w:val="Normal"/>
    <w:uiPriority w:val="39"/>
    <w:semiHidden/>
    <w:unhideWhenUsed/>
    <w:qFormat/>
    <w:rsid w:val="000B0B09"/>
    <w:pPr>
      <w:keepLines/>
      <w:spacing w:before="480" w:line="311" w:lineRule="auto"/>
      <w:outlineLvl w:val="9"/>
    </w:pPr>
    <w:rPr>
      <w:rFonts w:ascii="Arial" w:hAnsi="Arial"/>
      <w:bCs/>
      <w:color w:val="4B67A3"/>
      <w:szCs w:val="28"/>
    </w:rPr>
  </w:style>
  <w:style w:type="paragraph" w:customStyle="1" w:styleId="berarbeitung1">
    <w:name w:val="Überarbeitung1"/>
    <w:hidden/>
    <w:uiPriority w:val="99"/>
    <w:semiHidden/>
    <w:rsid w:val="000B0B09"/>
    <w:rPr>
      <w:rFonts w:ascii="Verdana" w:eastAsia="Times New Roman" w:hAnsi="Verdana"/>
      <w:szCs w:val="24"/>
      <w:lang w:val="en-US" w:eastAsia="en-US" w:bidi="ar-SA"/>
    </w:rPr>
  </w:style>
  <w:style w:type="paragraph" w:customStyle="1" w:styleId="Listenabsatz2">
    <w:name w:val="Listenabsatz2"/>
    <w:basedOn w:val="Normal"/>
    <w:uiPriority w:val="99"/>
    <w:qFormat/>
    <w:rsid w:val="000B0B09"/>
    <w:pPr>
      <w:ind w:left="708"/>
    </w:pPr>
  </w:style>
  <w:style w:type="character" w:customStyle="1" w:styleId="Platzhaltertext1">
    <w:name w:val="Platzhaltertext1"/>
    <w:uiPriority w:val="99"/>
    <w:semiHidden/>
    <w:rsid w:val="000B0B09"/>
    <w:rPr>
      <w:color w:val="808080"/>
    </w:rPr>
  </w:style>
  <w:style w:type="paragraph" w:customStyle="1" w:styleId="Default">
    <w:name w:val="Default"/>
    <w:rsid w:val="00283B5F"/>
    <w:pPr>
      <w:autoSpaceDE w:val="0"/>
      <w:autoSpaceDN w:val="0"/>
      <w:adjustRightInd w:val="0"/>
    </w:pPr>
    <w:rPr>
      <w:rFonts w:cs="Arial"/>
      <w:color w:val="000000"/>
      <w:sz w:val="24"/>
      <w:szCs w:val="24"/>
      <w:lang w:bidi="ar-SA"/>
    </w:rPr>
  </w:style>
  <w:style w:type="paragraph" w:customStyle="1" w:styleId="CM1">
    <w:name w:val="CM1"/>
    <w:basedOn w:val="Default"/>
    <w:next w:val="Default"/>
    <w:uiPriority w:val="99"/>
    <w:rsid w:val="003D7822"/>
    <w:rPr>
      <w:rFonts w:ascii="EU Albertina" w:hAnsi="EU Albertina" w:cs="Times New Roman"/>
      <w:color w:val="auto"/>
    </w:rPr>
  </w:style>
  <w:style w:type="paragraph" w:customStyle="1" w:styleId="CM3">
    <w:name w:val="CM3"/>
    <w:basedOn w:val="Default"/>
    <w:next w:val="Default"/>
    <w:uiPriority w:val="99"/>
    <w:rsid w:val="003D7822"/>
    <w:rPr>
      <w:rFonts w:ascii="EU Albertina" w:hAnsi="EU Albertina" w:cs="Times New Roman"/>
      <w:color w:val="auto"/>
    </w:rPr>
  </w:style>
  <w:style w:type="paragraph" w:styleId="NormalWeb">
    <w:name w:val="Normal (Web)"/>
    <w:basedOn w:val="Normal"/>
    <w:uiPriority w:val="99"/>
    <w:unhideWhenUsed/>
    <w:locked/>
    <w:rsid w:val="00C7103D"/>
    <w:pPr>
      <w:spacing w:before="100" w:beforeAutospacing="1" w:after="100" w:afterAutospacing="1"/>
      <w:jc w:val="left"/>
    </w:pPr>
    <w:rPr>
      <w:rFonts w:ascii="Times New Roman" w:hAnsi="Times New Roman"/>
      <w:sz w:val="24"/>
      <w:lang w:eastAsia="en-GB"/>
    </w:rPr>
  </w:style>
  <w:style w:type="character" w:styleId="Emphasis">
    <w:name w:val="Emphasis"/>
    <w:basedOn w:val="DefaultParagraphFont"/>
    <w:uiPriority w:val="20"/>
    <w:qFormat/>
    <w:locked/>
    <w:rsid w:val="00C7103D"/>
    <w:rPr>
      <w:i/>
      <w:iCs/>
    </w:rPr>
  </w:style>
  <w:style w:type="paragraph" w:customStyle="1" w:styleId="TableMainHeading">
    <w:name w:val="TableMainHeading"/>
    <w:basedOn w:val="Normal"/>
    <w:next w:val="Normal"/>
    <w:uiPriority w:val="99"/>
    <w:rsid w:val="007C64F7"/>
    <w:pPr>
      <w:jc w:val="left"/>
    </w:pPr>
    <w:rPr>
      <w:rFonts w:ascii="Segoe UI" w:hAnsi="Segoe UI"/>
      <w:sz w:val="22"/>
      <w:szCs w:val="20"/>
    </w:rPr>
  </w:style>
  <w:style w:type="paragraph" w:customStyle="1" w:styleId="body">
    <w:name w:val="body"/>
    <w:qFormat/>
    <w:rsid w:val="008151A6"/>
    <w:pPr>
      <w:spacing w:before="240" w:after="120" w:line="276" w:lineRule="auto"/>
      <w:jc w:val="both"/>
    </w:pPr>
    <w:rPr>
      <w:rFonts w:asciiTheme="minorHAnsi" w:eastAsiaTheme="minorEastAsia" w:hAnsiTheme="minorHAnsi" w:cstheme="minorBidi"/>
      <w:sz w:val="22"/>
      <w:szCs w:val="24"/>
      <w:lang w:val="en-US" w:eastAsia="en-US" w:bidi="ar-SA"/>
    </w:rPr>
  </w:style>
  <w:style w:type="paragraph" w:customStyle="1" w:styleId="Applicationdirecte">
    <w:name w:val="Application directe"/>
    <w:basedOn w:val="Normal"/>
    <w:next w:val="Fait"/>
    <w:rsid w:val="00595FAD"/>
    <w:pPr>
      <w:spacing w:before="480"/>
    </w:pPr>
    <w:rPr>
      <w:rFonts w:ascii="Times New Roman" w:hAnsi="Times New Roman"/>
      <w:sz w:val="24"/>
    </w:rPr>
  </w:style>
  <w:style w:type="paragraph" w:customStyle="1" w:styleId="Fait">
    <w:name w:val="Fait à"/>
    <w:basedOn w:val="Normal"/>
    <w:next w:val="Normal"/>
    <w:rsid w:val="00595FAD"/>
    <w:pPr>
      <w:keepNext/>
      <w:spacing w:after="0"/>
    </w:pPr>
    <w:rPr>
      <w:rFonts w:ascii="Times New Roman" w:hAnsi="Times New Roman"/>
      <w:sz w:val="24"/>
    </w:rPr>
  </w:style>
  <w:style w:type="paragraph" w:customStyle="1" w:styleId="Numberedtilelevel1">
    <w:name w:val="Numbered tile level 1"/>
    <w:basedOn w:val="Titlelevel1"/>
    <w:qFormat/>
    <w:rsid w:val="00595FAD"/>
    <w:pPr>
      <w:numPr>
        <w:numId w:val="25"/>
      </w:numPr>
    </w:pPr>
  </w:style>
  <w:style w:type="paragraph" w:customStyle="1" w:styleId="Numberedtitlelevel2">
    <w:name w:val="Numbered title level 2"/>
    <w:basedOn w:val="Titlelevel2"/>
    <w:next w:val="body"/>
    <w:qFormat/>
    <w:rsid w:val="00595FAD"/>
    <w:pPr>
      <w:numPr>
        <w:ilvl w:val="1"/>
        <w:numId w:val="25"/>
      </w:numPr>
    </w:pPr>
  </w:style>
  <w:style w:type="paragraph" w:customStyle="1" w:styleId="Titlelevel2">
    <w:name w:val="Title level 2"/>
    <w:qFormat/>
    <w:rsid w:val="00595FAD"/>
    <w:pPr>
      <w:spacing w:before="240" w:after="240"/>
    </w:pPr>
    <w:rPr>
      <w:rFonts w:asciiTheme="majorHAnsi" w:eastAsiaTheme="majorEastAsia" w:hAnsiTheme="majorHAnsi" w:cstheme="majorBidi"/>
      <w:bCs/>
      <w:color w:val="1F497D" w:themeColor="text2"/>
      <w:sz w:val="32"/>
      <w:szCs w:val="24"/>
      <w:lang w:val="en-US" w:eastAsia="en-US" w:bidi="ar-SA"/>
    </w:rPr>
  </w:style>
  <w:style w:type="paragraph" w:customStyle="1" w:styleId="Tableheader">
    <w:name w:val="Table header"/>
    <w:next w:val="Tabledata"/>
    <w:qFormat/>
    <w:rsid w:val="00595FAD"/>
    <w:pPr>
      <w:spacing w:after="80"/>
    </w:pPr>
    <w:rPr>
      <w:rFonts w:ascii="Calibri" w:eastAsia="Times New Roman" w:hAnsi="Calibri"/>
      <w:b/>
      <w:color w:val="000000"/>
      <w:sz w:val="22"/>
      <w:szCs w:val="22"/>
      <w:lang w:val="en-US" w:eastAsia="en-US" w:bidi="ar-SA"/>
    </w:rPr>
  </w:style>
  <w:style w:type="paragraph" w:customStyle="1" w:styleId="Tabledata">
    <w:name w:val="Table data"/>
    <w:basedOn w:val="body"/>
    <w:qFormat/>
    <w:rsid w:val="00595FAD"/>
    <w:pPr>
      <w:spacing w:before="120" w:line="240" w:lineRule="auto"/>
    </w:pPr>
    <w:rPr>
      <w:rFonts w:eastAsia="Times New Roman" w:cstheme="minorHAnsi"/>
      <w:bCs/>
      <w:color w:val="000000"/>
      <w:sz w:val="20"/>
      <w:szCs w:val="22"/>
      <w:lang w:val="en-GB" w:eastAsia="en-GB"/>
    </w:rPr>
  </w:style>
  <w:style w:type="paragraph" w:customStyle="1" w:styleId="List1">
    <w:name w:val="List1"/>
    <w:autoRedefine/>
    <w:qFormat/>
    <w:rsid w:val="00595FAD"/>
    <w:pPr>
      <w:numPr>
        <w:numId w:val="23"/>
      </w:numPr>
    </w:pPr>
    <w:rPr>
      <w:rFonts w:asciiTheme="minorHAnsi" w:eastAsiaTheme="minorEastAsia" w:hAnsiTheme="minorHAnsi" w:cstheme="minorBidi"/>
      <w:sz w:val="22"/>
      <w:szCs w:val="22"/>
      <w:lang w:val="en-US" w:eastAsia="en-US" w:bidi="ar-SA"/>
    </w:rPr>
  </w:style>
  <w:style w:type="table" w:styleId="TableProfessional">
    <w:name w:val="Table Professional"/>
    <w:basedOn w:val="TableNormal"/>
    <w:uiPriority w:val="99"/>
    <w:semiHidden/>
    <w:unhideWhenUsed/>
    <w:locked/>
    <w:rsid w:val="00595FAD"/>
    <w:rPr>
      <w:rFonts w:asciiTheme="minorHAnsi" w:eastAsiaTheme="minorEastAsia" w:hAnsiTheme="minorHAnsi" w:cstheme="minorBidi"/>
      <w:sz w:val="24"/>
      <w:szCs w:val="24"/>
      <w:lang w:val="en-US" w:eastAsia="en-US" w:bidi="ar-S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paragraph" w:styleId="List">
    <w:name w:val="List"/>
    <w:autoRedefine/>
    <w:uiPriority w:val="99"/>
    <w:semiHidden/>
    <w:qFormat/>
    <w:locked/>
    <w:rsid w:val="00595FAD"/>
    <w:pPr>
      <w:numPr>
        <w:numId w:val="24"/>
      </w:numPr>
      <w:spacing w:before="240" w:after="120"/>
      <w:contextualSpacing/>
    </w:pPr>
    <w:rPr>
      <w:rFonts w:asciiTheme="minorHAnsi" w:eastAsiaTheme="minorEastAsia" w:hAnsiTheme="minorHAnsi" w:cstheme="minorBidi"/>
      <w:sz w:val="22"/>
      <w:szCs w:val="24"/>
      <w:lang w:val="en-US" w:eastAsia="en-US" w:bidi="ar-SA"/>
    </w:rPr>
  </w:style>
  <w:style w:type="paragraph" w:customStyle="1" w:styleId="Titlelevel1">
    <w:name w:val="Title level 1"/>
    <w:autoRedefine/>
    <w:qFormat/>
    <w:rsid w:val="00595FAD"/>
    <w:pPr>
      <w:pBdr>
        <w:bottom w:val="single" w:sz="8" w:space="1" w:color="1F497D" w:themeColor="text2"/>
      </w:pBdr>
      <w:spacing w:before="360" w:after="600" w:line="560" w:lineRule="exact"/>
    </w:pPr>
    <w:rPr>
      <w:rFonts w:asciiTheme="majorHAnsi" w:eastAsiaTheme="majorEastAsia" w:hAnsiTheme="majorHAnsi" w:cstheme="majorBidi"/>
      <w:color w:val="1F497D" w:themeColor="text2"/>
      <w:spacing w:val="5"/>
      <w:kern w:val="28"/>
      <w:sz w:val="52"/>
      <w:szCs w:val="52"/>
      <w:lang w:val="en-US" w:eastAsia="en-US" w:bidi="ar-SA"/>
    </w:rPr>
  </w:style>
  <w:style w:type="paragraph" w:customStyle="1" w:styleId="Titlelevel3">
    <w:name w:val="Title level 3"/>
    <w:qFormat/>
    <w:rsid w:val="00595FAD"/>
    <w:pPr>
      <w:spacing w:before="240" w:after="240"/>
    </w:pPr>
    <w:rPr>
      <w:rFonts w:asciiTheme="minorHAnsi" w:eastAsiaTheme="minorEastAsia" w:hAnsiTheme="minorHAnsi" w:cstheme="minorBidi"/>
      <w:b/>
      <w:color w:val="1F497D" w:themeColor="text2"/>
      <w:sz w:val="24"/>
      <w:szCs w:val="24"/>
      <w:lang w:val="en-US" w:eastAsia="en-US" w:bidi="ar-SA"/>
    </w:rPr>
  </w:style>
  <w:style w:type="paragraph" w:customStyle="1" w:styleId="Titlelevel4">
    <w:name w:val="Title level 4"/>
    <w:next w:val="body"/>
    <w:qFormat/>
    <w:rsid w:val="00595FAD"/>
    <w:pPr>
      <w:spacing w:before="240" w:after="240"/>
    </w:pPr>
    <w:rPr>
      <w:rFonts w:asciiTheme="minorHAnsi" w:eastAsiaTheme="minorEastAsia" w:hAnsiTheme="minorHAnsi" w:cstheme="minorBidi"/>
      <w:color w:val="EEECE1" w:themeColor="background2"/>
      <w:sz w:val="24"/>
      <w:szCs w:val="24"/>
      <w:lang w:val="en-US" w:eastAsia="en-US" w:bidi="ar-SA"/>
    </w:rPr>
  </w:style>
  <w:style w:type="paragraph" w:customStyle="1" w:styleId="Figuretitle">
    <w:name w:val="Figure title"/>
    <w:basedOn w:val="body"/>
    <w:next w:val="Normal"/>
    <w:autoRedefine/>
    <w:qFormat/>
    <w:rsid w:val="00595FAD"/>
    <w:pPr>
      <w:keepNext/>
      <w:spacing w:before="360" w:after="360"/>
    </w:pPr>
    <w:rPr>
      <w:rFonts w:eastAsia="Times New Roman" w:cs="Times New Roman"/>
      <w:bCs/>
      <w:noProof/>
      <w:color w:val="1F497D" w:themeColor="text2"/>
      <w:szCs w:val="20"/>
      <w:lang w:val="en-GB" w:eastAsia="en-GB"/>
    </w:rPr>
  </w:style>
  <w:style w:type="table" w:customStyle="1" w:styleId="EBAtable">
    <w:name w:val="EBA table"/>
    <w:basedOn w:val="TableNormal"/>
    <w:uiPriority w:val="99"/>
    <w:rsid w:val="00595FAD"/>
    <w:rPr>
      <w:rFonts w:asciiTheme="minorHAnsi" w:eastAsiaTheme="minorEastAsia" w:hAnsiTheme="minorHAnsi" w:cstheme="minorBidi"/>
      <w:sz w:val="24"/>
      <w:szCs w:val="24"/>
      <w:lang w:val="en-US" w:eastAsia="en-US" w:bidi="ar-SA"/>
    </w:rPr>
    <w:tblPr>
      <w:tblBorders>
        <w:bottom w:val="single" w:sz="2" w:space="0" w:color="000000" w:themeColor="text1"/>
        <w:insideH w:val="single" w:sz="2" w:space="0" w:color="000000" w:themeColor="text1"/>
      </w:tblBorders>
    </w:tblPr>
    <w:tcPr>
      <w:vAlign w:val="center"/>
    </w:tcPr>
    <w:tblStylePr w:type="firstRow">
      <w:pPr>
        <w:jc w:val="left"/>
      </w:pPr>
      <w:tblPr/>
      <w:trPr>
        <w:tblHeader/>
      </w:trPr>
      <w:tcPr>
        <w:tcBorders>
          <w:top w:val="nil"/>
          <w:left w:val="nil"/>
          <w:bottom w:val="single" w:sz="18" w:space="0" w:color="EEECE1" w:themeColor="background2"/>
          <w:right w:val="nil"/>
          <w:insideH w:val="nil"/>
          <w:insideV w:val="nil"/>
          <w:tl2br w:val="nil"/>
          <w:tr2bl w:val="nil"/>
        </w:tcBorders>
      </w:tcPr>
    </w:tblStylePr>
    <w:tblStylePr w:type="lastRow">
      <w:tblPr/>
      <w:tcPr>
        <w:tcBorders>
          <w:top w:val="nil"/>
          <w:left w:val="nil"/>
          <w:bottom w:val="single" w:sz="4" w:space="0" w:color="EEECE1" w:themeColor="background2"/>
          <w:right w:val="nil"/>
          <w:insideH w:val="nil"/>
          <w:insideV w:val="nil"/>
          <w:tl2br w:val="nil"/>
          <w:tr2bl w:val="nil"/>
        </w:tcBorders>
      </w:tcPr>
    </w:tblStylePr>
  </w:style>
  <w:style w:type="paragraph" w:customStyle="1" w:styleId="Runningtitle">
    <w:name w:val="Running title"/>
    <w:qFormat/>
    <w:rsid w:val="00595FAD"/>
    <w:rPr>
      <w:rFonts w:asciiTheme="minorHAnsi" w:eastAsiaTheme="minorEastAsia" w:hAnsiTheme="minorHAnsi" w:cstheme="minorBidi"/>
      <w:caps/>
      <w:sz w:val="16"/>
      <w:szCs w:val="18"/>
      <w:lang w:val="en-US" w:eastAsia="en-US" w:bidi="ar-SA"/>
    </w:rPr>
  </w:style>
  <w:style w:type="paragraph" w:customStyle="1" w:styleId="bullet1">
    <w:name w:val="bullet 1"/>
    <w:basedOn w:val="body"/>
    <w:next w:val="body"/>
    <w:qFormat/>
    <w:rsid w:val="00595FAD"/>
    <w:pPr>
      <w:numPr>
        <w:numId w:val="21"/>
      </w:numPr>
    </w:pPr>
    <w:rPr>
      <w:szCs w:val="22"/>
    </w:rPr>
  </w:style>
  <w:style w:type="paragraph" w:customStyle="1" w:styleId="bullet2">
    <w:name w:val="bullet 2"/>
    <w:basedOn w:val="body"/>
    <w:qFormat/>
    <w:rsid w:val="00595FAD"/>
    <w:pPr>
      <w:numPr>
        <w:numId w:val="20"/>
      </w:numPr>
    </w:pPr>
    <w:rPr>
      <w:szCs w:val="22"/>
    </w:rPr>
  </w:style>
  <w:style w:type="paragraph" w:customStyle="1" w:styleId="Numberedtitlelevel3">
    <w:name w:val="Numbered title level 3"/>
    <w:basedOn w:val="Titlelevel3"/>
    <w:next w:val="body"/>
    <w:qFormat/>
    <w:rsid w:val="00595FAD"/>
    <w:pPr>
      <w:numPr>
        <w:ilvl w:val="2"/>
        <w:numId w:val="25"/>
      </w:numPr>
    </w:pPr>
  </w:style>
  <w:style w:type="table" w:styleId="LightShading">
    <w:name w:val="Light Shading"/>
    <w:basedOn w:val="TableNormal"/>
    <w:uiPriority w:val="60"/>
    <w:rsid w:val="00595FAD"/>
    <w:rPr>
      <w:rFonts w:asciiTheme="minorHAnsi" w:eastAsiaTheme="minorEastAsia" w:hAnsiTheme="minorHAnsi" w:cstheme="minorBidi"/>
      <w:color w:val="000000" w:themeColor="text1" w:themeShade="BF"/>
      <w:sz w:val="24"/>
      <w:szCs w:val="24"/>
      <w:lang w:val="en-US" w:eastAsia="en-US" w:bidi="ar-SA"/>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595FAD"/>
    <w:rPr>
      <w:rFonts w:asciiTheme="minorHAnsi" w:eastAsiaTheme="minorEastAsia" w:hAnsiTheme="minorHAnsi" w:cstheme="minorBidi"/>
      <w:color w:val="365F91" w:themeColor="accent1" w:themeShade="BF"/>
      <w:sz w:val="24"/>
      <w:szCs w:val="24"/>
      <w:lang w:val="en-US" w:eastAsia="en-US" w:bidi="ar-SA"/>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Contenttitle">
    <w:name w:val="Content title"/>
    <w:basedOn w:val="Titlelevel1"/>
    <w:qFormat/>
    <w:rsid w:val="00595FAD"/>
  </w:style>
  <w:style w:type="paragraph" w:customStyle="1" w:styleId="Numberedtitlelevel4">
    <w:name w:val="Numbered title level 4"/>
    <w:basedOn w:val="Titlelevel4"/>
    <w:qFormat/>
    <w:rsid w:val="00595FAD"/>
    <w:pPr>
      <w:numPr>
        <w:numId w:val="22"/>
      </w:numPr>
    </w:pPr>
  </w:style>
  <w:style w:type="paragraph" w:styleId="Title">
    <w:name w:val="Title"/>
    <w:basedOn w:val="Normal"/>
    <w:next w:val="Normal"/>
    <w:link w:val="TitleChar"/>
    <w:qFormat/>
    <w:locked/>
    <w:rsid w:val="00595FAD"/>
    <w:pPr>
      <w:pBdr>
        <w:bottom w:val="single" w:sz="8" w:space="4" w:color="4F81BD" w:themeColor="accent1"/>
      </w:pBdr>
      <w:spacing w:before="0" w:after="300"/>
      <w:contextualSpacing/>
      <w:jc w:val="left"/>
    </w:pPr>
    <w:rPr>
      <w:rFonts w:asciiTheme="majorHAnsi" w:eastAsiaTheme="majorEastAsia" w:hAnsiTheme="majorHAnsi" w:cstheme="majorBidi"/>
      <w:color w:val="1F497D" w:themeColor="text2"/>
      <w:spacing w:val="5"/>
      <w:kern w:val="28"/>
      <w:sz w:val="52"/>
      <w:szCs w:val="52"/>
      <w:lang w:val="en-US"/>
    </w:rPr>
  </w:style>
  <w:style w:type="character" w:customStyle="1" w:styleId="TitleChar">
    <w:name w:val="Title Char"/>
    <w:basedOn w:val="DefaultParagraphFont"/>
    <w:link w:val="Title"/>
    <w:rsid w:val="00595FAD"/>
    <w:rPr>
      <w:rFonts w:asciiTheme="majorHAnsi" w:eastAsiaTheme="majorEastAsia" w:hAnsiTheme="majorHAnsi" w:cstheme="majorBidi"/>
      <w:color w:val="1F497D" w:themeColor="text2"/>
      <w:spacing w:val="5"/>
      <w:kern w:val="28"/>
      <w:sz w:val="52"/>
      <w:szCs w:val="52"/>
      <w:lang w:val="en-US" w:eastAsia="en-US" w:bidi="ar-SA"/>
    </w:rPr>
  </w:style>
  <w:style w:type="paragraph" w:styleId="Subtitle">
    <w:name w:val="Subtitle"/>
    <w:next w:val="Normal"/>
    <w:link w:val="SubtitleChar"/>
    <w:autoRedefine/>
    <w:uiPriority w:val="11"/>
    <w:qFormat/>
    <w:locked/>
    <w:rsid w:val="00595FAD"/>
    <w:pPr>
      <w:numPr>
        <w:ilvl w:val="1"/>
      </w:numPr>
      <w:spacing w:before="240" w:after="120"/>
    </w:pPr>
    <w:rPr>
      <w:rFonts w:asciiTheme="majorHAnsi" w:eastAsiaTheme="majorEastAsia" w:hAnsiTheme="majorHAnsi" w:cstheme="majorBidi"/>
      <w:color w:val="4F81BD" w:themeColor="accent1"/>
      <w:sz w:val="32"/>
      <w:szCs w:val="32"/>
      <w:lang w:eastAsia="en-US" w:bidi="ar-SA"/>
    </w:rPr>
  </w:style>
  <w:style w:type="character" w:customStyle="1" w:styleId="SubtitleChar">
    <w:name w:val="Subtitle Char"/>
    <w:basedOn w:val="DefaultParagraphFont"/>
    <w:link w:val="Subtitle"/>
    <w:uiPriority w:val="11"/>
    <w:rsid w:val="00595FAD"/>
    <w:rPr>
      <w:rFonts w:asciiTheme="majorHAnsi" w:eastAsiaTheme="majorEastAsia" w:hAnsiTheme="majorHAnsi" w:cstheme="majorBidi"/>
      <w:color w:val="4F81BD" w:themeColor="accent1"/>
      <w:sz w:val="32"/>
      <w:szCs w:val="32"/>
      <w:lang w:eastAsia="en-US" w:bidi="ar-SA"/>
    </w:rPr>
  </w:style>
  <w:style w:type="character" w:styleId="BookTitle">
    <w:name w:val="Book Title"/>
    <w:basedOn w:val="DefaultParagraphFont"/>
    <w:uiPriority w:val="33"/>
    <w:qFormat/>
    <w:rsid w:val="00595FAD"/>
    <w:rPr>
      <w:b/>
      <w:bCs/>
      <w:smallCaps/>
      <w:spacing w:val="5"/>
    </w:rPr>
  </w:style>
  <w:style w:type="character" w:customStyle="1" w:styleId="Highlighttext">
    <w:name w:val="Highlight text"/>
    <w:basedOn w:val="DefaultParagraphFont"/>
    <w:uiPriority w:val="1"/>
    <w:semiHidden/>
    <w:qFormat/>
    <w:rsid w:val="00595FAD"/>
    <w:rPr>
      <w:rFonts w:asciiTheme="minorHAnsi" w:hAnsiTheme="minorHAnsi"/>
      <w:b/>
      <w:bCs/>
      <w:caps w:val="0"/>
      <w:smallCaps w:val="0"/>
      <w:color w:val="EEECE1" w:themeColor="background2"/>
      <w:sz w:val="22"/>
      <w:szCs w:val="22"/>
    </w:rPr>
  </w:style>
  <w:style w:type="paragraph" w:customStyle="1" w:styleId="abbreviation">
    <w:name w:val="abbreviation"/>
    <w:basedOn w:val="Tableheader"/>
    <w:qFormat/>
    <w:rsid w:val="00595FAD"/>
    <w:rPr>
      <w:bCs/>
      <w:lang w:val="en-GB" w:eastAsia="en-GB"/>
    </w:rPr>
  </w:style>
  <w:style w:type="paragraph" w:styleId="ListBullet">
    <w:name w:val="List Bullet"/>
    <w:basedOn w:val="Normal"/>
    <w:semiHidden/>
    <w:qFormat/>
    <w:locked/>
    <w:rsid w:val="00595FAD"/>
    <w:pPr>
      <w:numPr>
        <w:numId w:val="27"/>
      </w:numPr>
      <w:spacing w:before="0" w:after="0"/>
      <w:contextualSpacing/>
      <w:jc w:val="left"/>
    </w:pPr>
    <w:rPr>
      <w:rFonts w:asciiTheme="minorHAnsi" w:eastAsiaTheme="minorEastAsia" w:hAnsiTheme="minorHAnsi" w:cstheme="minorBidi"/>
      <w:sz w:val="22"/>
      <w:lang w:val="en-US"/>
    </w:rPr>
  </w:style>
  <w:style w:type="paragraph" w:customStyle="1" w:styleId="numberedparagraph">
    <w:name w:val="numbered paragraph"/>
    <w:basedOn w:val="body"/>
    <w:qFormat/>
    <w:rsid w:val="00595FAD"/>
    <w:pPr>
      <w:numPr>
        <w:numId w:val="26"/>
      </w:numPr>
    </w:pPr>
  </w:style>
  <w:style w:type="character" w:customStyle="1" w:styleId="Marker">
    <w:name w:val="Marker"/>
    <w:rsid w:val="00595FAD"/>
    <w:rPr>
      <w:color w:val="0000FF"/>
      <w:shd w:val="clear" w:color="auto" w:fill="auto"/>
    </w:rPr>
  </w:style>
  <w:style w:type="character" w:customStyle="1" w:styleId="Marker2">
    <w:name w:val="Marker2"/>
    <w:rsid w:val="00595FAD"/>
    <w:rPr>
      <w:color w:val="FF0000"/>
      <w:shd w:val="clear" w:color="auto" w:fill="auto"/>
    </w:rPr>
  </w:style>
  <w:style w:type="paragraph" w:customStyle="1" w:styleId="Annexetitre">
    <w:name w:val="Annexe titre"/>
    <w:basedOn w:val="Normal"/>
    <w:next w:val="Normal"/>
    <w:rsid w:val="00595FAD"/>
    <w:pPr>
      <w:jc w:val="center"/>
    </w:pPr>
    <w:rPr>
      <w:rFonts w:ascii="Times New Roman" w:hAnsi="Times New Roman"/>
      <w:b/>
      <w:sz w:val="24"/>
      <w:u w:val="single"/>
    </w:rPr>
  </w:style>
  <w:style w:type="paragraph" w:customStyle="1" w:styleId="Considrant">
    <w:name w:val="Considérant"/>
    <w:basedOn w:val="Normal"/>
    <w:rsid w:val="00595FAD"/>
    <w:pPr>
      <w:numPr>
        <w:numId w:val="28"/>
      </w:numPr>
    </w:pPr>
    <w:rPr>
      <w:rFonts w:ascii="Times New Roman" w:hAnsi="Times New Roman"/>
      <w:sz w:val="24"/>
    </w:rPr>
  </w:style>
  <w:style w:type="paragraph" w:customStyle="1" w:styleId="Datedadoption">
    <w:name w:val="Date d'adoption"/>
    <w:basedOn w:val="Normal"/>
    <w:next w:val="Titreobjet"/>
    <w:rsid w:val="00595FAD"/>
    <w:pPr>
      <w:spacing w:before="360" w:after="0"/>
      <w:jc w:val="center"/>
    </w:pPr>
    <w:rPr>
      <w:rFonts w:ascii="Times New Roman" w:hAnsi="Times New Roman"/>
      <w:b/>
      <w:sz w:val="24"/>
    </w:rPr>
  </w:style>
  <w:style w:type="paragraph" w:customStyle="1" w:styleId="Formuledadoption">
    <w:name w:val="Formule d'adoption"/>
    <w:basedOn w:val="Normal"/>
    <w:next w:val="Titrearticle"/>
    <w:rsid w:val="00595FAD"/>
    <w:pPr>
      <w:keepNext/>
    </w:pPr>
    <w:rPr>
      <w:rFonts w:ascii="Times New Roman" w:hAnsi="Times New Roman"/>
      <w:sz w:val="24"/>
    </w:rPr>
  </w:style>
  <w:style w:type="paragraph" w:customStyle="1" w:styleId="Institutionquisigne">
    <w:name w:val="Institution qui signe"/>
    <w:basedOn w:val="Normal"/>
    <w:next w:val="Personnequisigne"/>
    <w:rsid w:val="00595FAD"/>
    <w:pPr>
      <w:keepNext/>
      <w:tabs>
        <w:tab w:val="left" w:pos="4252"/>
      </w:tabs>
      <w:spacing w:before="720" w:after="0"/>
    </w:pPr>
    <w:rPr>
      <w:rFonts w:ascii="Times New Roman" w:hAnsi="Times New Roman"/>
      <w:i/>
      <w:sz w:val="24"/>
    </w:rPr>
  </w:style>
  <w:style w:type="paragraph" w:customStyle="1" w:styleId="Personnequisigne">
    <w:name w:val="Personne qui signe"/>
    <w:basedOn w:val="Normal"/>
    <w:next w:val="Institutionquisigne"/>
    <w:rsid w:val="00595FAD"/>
    <w:pPr>
      <w:tabs>
        <w:tab w:val="left" w:pos="4252"/>
      </w:tabs>
      <w:spacing w:before="0" w:after="0"/>
      <w:jc w:val="left"/>
    </w:pPr>
    <w:rPr>
      <w:rFonts w:ascii="Times New Roman" w:hAnsi="Times New Roman"/>
      <w:i/>
      <w:sz w:val="24"/>
    </w:rPr>
  </w:style>
  <w:style w:type="paragraph" w:customStyle="1" w:styleId="Titreobjet">
    <w:name w:val="Titre objet"/>
    <w:basedOn w:val="Normal"/>
    <w:next w:val="Normal"/>
    <w:rsid w:val="00595FAD"/>
    <w:pPr>
      <w:spacing w:before="360" w:after="360"/>
      <w:jc w:val="center"/>
    </w:pPr>
    <w:rPr>
      <w:rFonts w:ascii="Times New Roman" w:hAnsi="Times New Roman"/>
      <w:b/>
      <w:sz w:val="24"/>
    </w:rPr>
  </w:style>
  <w:style w:type="paragraph" w:customStyle="1" w:styleId="Typedudocument">
    <w:name w:val="Type du document"/>
    <w:basedOn w:val="Normal"/>
    <w:next w:val="Titreobjet"/>
    <w:rsid w:val="00595FAD"/>
    <w:pPr>
      <w:spacing w:before="360" w:after="0"/>
      <w:jc w:val="center"/>
    </w:pPr>
    <w:rPr>
      <w:rFonts w:ascii="Times New Roman" w:hAnsi="Times New Roman"/>
      <w:b/>
      <w:sz w:val="24"/>
    </w:rPr>
  </w:style>
  <w:style w:type="paragraph" w:customStyle="1" w:styleId="Pagedecouverture">
    <w:name w:val="Page de couverture"/>
    <w:basedOn w:val="Normal"/>
    <w:next w:val="Normal"/>
    <w:rsid w:val="00595FAD"/>
    <w:rPr>
      <w:rFonts w:ascii="Times New Roman" w:hAnsi="Times New Roman"/>
      <w:sz w:val="24"/>
    </w:rPr>
  </w:style>
  <w:style w:type="paragraph" w:customStyle="1" w:styleId="Institutionquiagit">
    <w:name w:val="Institution qui agit"/>
    <w:basedOn w:val="Normal"/>
    <w:next w:val="Normal"/>
    <w:rsid w:val="00595FAD"/>
    <w:pPr>
      <w:keepNext/>
      <w:spacing w:before="600"/>
    </w:pPr>
    <w:rPr>
      <w:rFonts w:ascii="Times New Roman" w:hAnsi="Times New Roman"/>
      <w:sz w:val="24"/>
    </w:rPr>
  </w:style>
  <w:style w:type="paragraph" w:styleId="Caption">
    <w:name w:val="caption"/>
    <w:basedOn w:val="Normal"/>
    <w:next w:val="Normal"/>
    <w:uiPriority w:val="35"/>
    <w:unhideWhenUsed/>
    <w:qFormat/>
    <w:locked/>
    <w:rsid w:val="00595FAD"/>
    <w:pPr>
      <w:spacing w:before="0" w:after="200"/>
      <w:jc w:val="left"/>
    </w:pPr>
    <w:rPr>
      <w:rFonts w:asciiTheme="minorHAnsi" w:eastAsiaTheme="minorEastAsia" w:hAnsiTheme="minorHAnsi" w:cstheme="minorBidi"/>
      <w:b/>
      <w:bCs/>
      <w:color w:val="4F81BD" w:themeColor="accent1"/>
      <w:sz w:val="18"/>
      <w:szCs w:val="18"/>
      <w:lang w:val="en-US"/>
    </w:rPr>
  </w:style>
  <w:style w:type="paragraph" w:customStyle="1" w:styleId="TableNote">
    <w:name w:val="TableNote"/>
    <w:basedOn w:val="Normal"/>
    <w:rsid w:val="00595FAD"/>
    <w:pPr>
      <w:spacing w:before="60"/>
    </w:pPr>
    <w:rPr>
      <w:rFonts w:ascii="Segoe UI" w:hAnsi="Segoe UI"/>
      <w:sz w:val="15"/>
      <w:szCs w:val="20"/>
    </w:rPr>
  </w:style>
  <w:style w:type="paragraph" w:customStyle="1" w:styleId="CM11">
    <w:name w:val="CM1+1"/>
    <w:basedOn w:val="Default"/>
    <w:next w:val="Default"/>
    <w:uiPriority w:val="99"/>
    <w:rsid w:val="00595FAD"/>
    <w:rPr>
      <w:rFonts w:ascii="EUAlbertina" w:eastAsiaTheme="minorEastAsia" w:hAnsi="EUAlbertina" w:cstheme="minorBidi"/>
      <w:color w:val="auto"/>
      <w:lang w:val="fr-FR" w:eastAsia="en-US"/>
    </w:rPr>
  </w:style>
  <w:style w:type="paragraph" w:customStyle="1" w:styleId="CM31">
    <w:name w:val="CM3+1"/>
    <w:basedOn w:val="Default"/>
    <w:next w:val="Default"/>
    <w:uiPriority w:val="99"/>
    <w:rsid w:val="00595FAD"/>
    <w:rPr>
      <w:rFonts w:ascii="EUAlbertina" w:eastAsiaTheme="minorEastAsia" w:hAnsi="EUAlbertina" w:cstheme="minorBidi"/>
      <w:color w:val="auto"/>
      <w:lang w:val="fr-FR" w:eastAsia="en-US"/>
    </w:rPr>
  </w:style>
  <w:style w:type="paragraph" w:customStyle="1" w:styleId="CM13">
    <w:name w:val="CM1+3"/>
    <w:basedOn w:val="Default"/>
    <w:next w:val="Default"/>
    <w:uiPriority w:val="99"/>
    <w:rsid w:val="00595FAD"/>
    <w:rPr>
      <w:rFonts w:ascii="EUAlbertina" w:eastAsiaTheme="minorEastAsia" w:hAnsi="EUAlbertina" w:cstheme="minorBidi"/>
      <w:color w:val="auto"/>
      <w:lang w:val="fr-FR" w:eastAsia="en-US"/>
    </w:rPr>
  </w:style>
  <w:style w:type="paragraph" w:customStyle="1" w:styleId="CM33">
    <w:name w:val="CM3+3"/>
    <w:basedOn w:val="Default"/>
    <w:next w:val="Default"/>
    <w:uiPriority w:val="99"/>
    <w:rsid w:val="00595FAD"/>
    <w:rPr>
      <w:rFonts w:ascii="EUAlbertina" w:eastAsiaTheme="minorEastAsia" w:hAnsi="EUAlbertina" w:cstheme="minorBidi"/>
      <w:color w:val="auto"/>
      <w:lang w:val="fr-FR" w:eastAsia="en-US"/>
    </w:rPr>
  </w:style>
  <w:style w:type="character" w:customStyle="1" w:styleId="ListParagraphChar">
    <w:name w:val="List Paragraph Char"/>
    <w:basedOn w:val="DefaultParagraphFont"/>
    <w:link w:val="ListParagraph"/>
    <w:uiPriority w:val="34"/>
    <w:locked/>
    <w:rsid w:val="00D55777"/>
    <w:rPr>
      <w:rFonts w:ascii="Verdana" w:eastAsia="Times New Roman" w:hAnsi="Verdana"/>
      <w:szCs w:val="24"/>
      <w:lang w:eastAsia="en-US" w:bidi="ar-SA"/>
    </w:rPr>
  </w:style>
  <w:style w:type="character" w:customStyle="1" w:styleId="UnresolvedMention1">
    <w:name w:val="Unresolved Mention1"/>
    <w:basedOn w:val="DefaultParagraphFont"/>
    <w:uiPriority w:val="99"/>
    <w:semiHidden/>
    <w:unhideWhenUsed/>
    <w:rsid w:val="001235ED"/>
    <w:rPr>
      <w:color w:val="605E5C"/>
      <w:shd w:val="clear" w:color="auto" w:fill="E1DFDD"/>
    </w:rPr>
  </w:style>
  <w:style w:type="character" w:styleId="UnresolvedMention">
    <w:name w:val="Unresolved Mention"/>
    <w:basedOn w:val="DefaultParagraphFont"/>
    <w:uiPriority w:val="99"/>
    <w:semiHidden/>
    <w:unhideWhenUsed/>
    <w:rsid w:val="00E37761"/>
    <w:rPr>
      <w:color w:val="605E5C"/>
      <w:shd w:val="clear" w:color="auto" w:fill="E1DFDD"/>
    </w:rPr>
  </w:style>
  <w:style w:type="paragraph" w:customStyle="1" w:styleId="NumberedparagraphL1">
    <w:name w:val="Numbered paragraph L1"/>
    <w:basedOn w:val="Normal"/>
    <w:link w:val="NumberedparagraphL1Char"/>
    <w:uiPriority w:val="1"/>
    <w:qFormat/>
    <w:rsid w:val="00AF5506"/>
    <w:pPr>
      <w:spacing w:before="240" w:line="276" w:lineRule="auto"/>
    </w:pPr>
    <w:rPr>
      <w:rFonts w:asciiTheme="minorHAnsi" w:hAnsiTheme="minorHAnsi" w:cstheme="minorBidi"/>
    </w:rPr>
  </w:style>
  <w:style w:type="character" w:customStyle="1" w:styleId="NumberedparagraphL1Char">
    <w:name w:val="Numbered paragraph L1 Char"/>
    <w:basedOn w:val="DefaultParagraphFont"/>
    <w:link w:val="NumberedparagraphL1"/>
    <w:uiPriority w:val="1"/>
    <w:rsid w:val="00AF5506"/>
    <w:rPr>
      <w:rFonts w:asciiTheme="minorHAnsi" w:eastAsia="Times New Roman" w:hAnsiTheme="minorHAnsi" w:cstheme="minorBidi"/>
      <w:szCs w:val="24"/>
      <w:lang w:eastAsia="en-US" w:bidi="ar-SA"/>
    </w:rPr>
  </w:style>
  <w:style w:type="character" w:customStyle="1" w:styleId="ui-provider">
    <w:name w:val="ui-provider"/>
    <w:basedOn w:val="DefaultParagraphFont"/>
    <w:rsid w:val="00B77A2C"/>
  </w:style>
  <w:style w:type="character" w:styleId="Strong">
    <w:name w:val="Strong"/>
    <w:basedOn w:val="DefaultParagraphFont"/>
    <w:uiPriority w:val="22"/>
    <w:qFormat/>
    <w:locked/>
    <w:rsid w:val="00E720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205551">
      <w:bodyDiv w:val="1"/>
      <w:marLeft w:val="0"/>
      <w:marRight w:val="0"/>
      <w:marTop w:val="0"/>
      <w:marBottom w:val="0"/>
      <w:divBdr>
        <w:top w:val="none" w:sz="0" w:space="0" w:color="auto"/>
        <w:left w:val="none" w:sz="0" w:space="0" w:color="auto"/>
        <w:bottom w:val="none" w:sz="0" w:space="0" w:color="auto"/>
        <w:right w:val="none" w:sz="0" w:space="0" w:color="auto"/>
      </w:divBdr>
    </w:div>
    <w:div w:id="128866012">
      <w:bodyDiv w:val="1"/>
      <w:marLeft w:val="0"/>
      <w:marRight w:val="0"/>
      <w:marTop w:val="0"/>
      <w:marBottom w:val="0"/>
      <w:divBdr>
        <w:top w:val="none" w:sz="0" w:space="0" w:color="auto"/>
        <w:left w:val="none" w:sz="0" w:space="0" w:color="auto"/>
        <w:bottom w:val="none" w:sz="0" w:space="0" w:color="auto"/>
        <w:right w:val="none" w:sz="0" w:space="0" w:color="auto"/>
      </w:divBdr>
    </w:div>
    <w:div w:id="162862455">
      <w:bodyDiv w:val="1"/>
      <w:marLeft w:val="0"/>
      <w:marRight w:val="0"/>
      <w:marTop w:val="0"/>
      <w:marBottom w:val="0"/>
      <w:divBdr>
        <w:top w:val="none" w:sz="0" w:space="0" w:color="auto"/>
        <w:left w:val="none" w:sz="0" w:space="0" w:color="auto"/>
        <w:bottom w:val="none" w:sz="0" w:space="0" w:color="auto"/>
        <w:right w:val="none" w:sz="0" w:space="0" w:color="auto"/>
      </w:divBdr>
    </w:div>
    <w:div w:id="186606750">
      <w:bodyDiv w:val="1"/>
      <w:marLeft w:val="0"/>
      <w:marRight w:val="0"/>
      <w:marTop w:val="0"/>
      <w:marBottom w:val="0"/>
      <w:divBdr>
        <w:top w:val="none" w:sz="0" w:space="0" w:color="auto"/>
        <w:left w:val="none" w:sz="0" w:space="0" w:color="auto"/>
        <w:bottom w:val="none" w:sz="0" w:space="0" w:color="auto"/>
        <w:right w:val="none" w:sz="0" w:space="0" w:color="auto"/>
      </w:divBdr>
    </w:div>
    <w:div w:id="189728779">
      <w:bodyDiv w:val="1"/>
      <w:marLeft w:val="0"/>
      <w:marRight w:val="0"/>
      <w:marTop w:val="0"/>
      <w:marBottom w:val="0"/>
      <w:divBdr>
        <w:top w:val="none" w:sz="0" w:space="0" w:color="auto"/>
        <w:left w:val="none" w:sz="0" w:space="0" w:color="auto"/>
        <w:bottom w:val="none" w:sz="0" w:space="0" w:color="auto"/>
        <w:right w:val="none" w:sz="0" w:space="0" w:color="auto"/>
      </w:divBdr>
    </w:div>
    <w:div w:id="233204828">
      <w:bodyDiv w:val="1"/>
      <w:marLeft w:val="0"/>
      <w:marRight w:val="0"/>
      <w:marTop w:val="0"/>
      <w:marBottom w:val="0"/>
      <w:divBdr>
        <w:top w:val="none" w:sz="0" w:space="0" w:color="auto"/>
        <w:left w:val="none" w:sz="0" w:space="0" w:color="auto"/>
        <w:bottom w:val="none" w:sz="0" w:space="0" w:color="auto"/>
        <w:right w:val="none" w:sz="0" w:space="0" w:color="auto"/>
      </w:divBdr>
    </w:div>
    <w:div w:id="299265773">
      <w:bodyDiv w:val="1"/>
      <w:marLeft w:val="0"/>
      <w:marRight w:val="0"/>
      <w:marTop w:val="0"/>
      <w:marBottom w:val="0"/>
      <w:divBdr>
        <w:top w:val="none" w:sz="0" w:space="0" w:color="auto"/>
        <w:left w:val="none" w:sz="0" w:space="0" w:color="auto"/>
        <w:bottom w:val="none" w:sz="0" w:space="0" w:color="auto"/>
        <w:right w:val="none" w:sz="0" w:space="0" w:color="auto"/>
      </w:divBdr>
    </w:div>
    <w:div w:id="538904984">
      <w:bodyDiv w:val="1"/>
      <w:marLeft w:val="0"/>
      <w:marRight w:val="0"/>
      <w:marTop w:val="0"/>
      <w:marBottom w:val="0"/>
      <w:divBdr>
        <w:top w:val="none" w:sz="0" w:space="0" w:color="auto"/>
        <w:left w:val="none" w:sz="0" w:space="0" w:color="auto"/>
        <w:bottom w:val="none" w:sz="0" w:space="0" w:color="auto"/>
        <w:right w:val="none" w:sz="0" w:space="0" w:color="auto"/>
      </w:divBdr>
    </w:div>
    <w:div w:id="710032604">
      <w:bodyDiv w:val="1"/>
      <w:marLeft w:val="0"/>
      <w:marRight w:val="0"/>
      <w:marTop w:val="0"/>
      <w:marBottom w:val="0"/>
      <w:divBdr>
        <w:top w:val="none" w:sz="0" w:space="0" w:color="auto"/>
        <w:left w:val="none" w:sz="0" w:space="0" w:color="auto"/>
        <w:bottom w:val="none" w:sz="0" w:space="0" w:color="auto"/>
        <w:right w:val="none" w:sz="0" w:space="0" w:color="auto"/>
      </w:divBdr>
    </w:div>
    <w:div w:id="718362389">
      <w:bodyDiv w:val="1"/>
      <w:marLeft w:val="0"/>
      <w:marRight w:val="0"/>
      <w:marTop w:val="0"/>
      <w:marBottom w:val="0"/>
      <w:divBdr>
        <w:top w:val="none" w:sz="0" w:space="0" w:color="auto"/>
        <w:left w:val="none" w:sz="0" w:space="0" w:color="auto"/>
        <w:bottom w:val="none" w:sz="0" w:space="0" w:color="auto"/>
        <w:right w:val="none" w:sz="0" w:space="0" w:color="auto"/>
      </w:divBdr>
    </w:div>
    <w:div w:id="792601634">
      <w:marLeft w:val="0"/>
      <w:marRight w:val="0"/>
      <w:marTop w:val="0"/>
      <w:marBottom w:val="0"/>
      <w:divBdr>
        <w:top w:val="none" w:sz="0" w:space="0" w:color="auto"/>
        <w:left w:val="none" w:sz="0" w:space="0" w:color="auto"/>
        <w:bottom w:val="none" w:sz="0" w:space="0" w:color="auto"/>
        <w:right w:val="none" w:sz="0" w:space="0" w:color="auto"/>
      </w:divBdr>
    </w:div>
    <w:div w:id="792601635">
      <w:marLeft w:val="0"/>
      <w:marRight w:val="0"/>
      <w:marTop w:val="0"/>
      <w:marBottom w:val="0"/>
      <w:divBdr>
        <w:top w:val="none" w:sz="0" w:space="0" w:color="auto"/>
        <w:left w:val="none" w:sz="0" w:space="0" w:color="auto"/>
        <w:bottom w:val="none" w:sz="0" w:space="0" w:color="auto"/>
        <w:right w:val="none" w:sz="0" w:space="0" w:color="auto"/>
      </w:divBdr>
    </w:div>
    <w:div w:id="792601636">
      <w:marLeft w:val="0"/>
      <w:marRight w:val="0"/>
      <w:marTop w:val="0"/>
      <w:marBottom w:val="0"/>
      <w:divBdr>
        <w:top w:val="none" w:sz="0" w:space="0" w:color="auto"/>
        <w:left w:val="none" w:sz="0" w:space="0" w:color="auto"/>
        <w:bottom w:val="none" w:sz="0" w:space="0" w:color="auto"/>
        <w:right w:val="none" w:sz="0" w:space="0" w:color="auto"/>
      </w:divBdr>
    </w:div>
    <w:div w:id="792601637">
      <w:marLeft w:val="0"/>
      <w:marRight w:val="0"/>
      <w:marTop w:val="0"/>
      <w:marBottom w:val="0"/>
      <w:divBdr>
        <w:top w:val="none" w:sz="0" w:space="0" w:color="auto"/>
        <w:left w:val="none" w:sz="0" w:space="0" w:color="auto"/>
        <w:bottom w:val="none" w:sz="0" w:space="0" w:color="auto"/>
        <w:right w:val="none" w:sz="0" w:space="0" w:color="auto"/>
      </w:divBdr>
    </w:div>
    <w:div w:id="792601638">
      <w:marLeft w:val="0"/>
      <w:marRight w:val="0"/>
      <w:marTop w:val="0"/>
      <w:marBottom w:val="0"/>
      <w:divBdr>
        <w:top w:val="none" w:sz="0" w:space="0" w:color="auto"/>
        <w:left w:val="none" w:sz="0" w:space="0" w:color="auto"/>
        <w:bottom w:val="none" w:sz="0" w:space="0" w:color="auto"/>
        <w:right w:val="none" w:sz="0" w:space="0" w:color="auto"/>
      </w:divBdr>
    </w:div>
    <w:div w:id="820199939">
      <w:bodyDiv w:val="1"/>
      <w:marLeft w:val="0"/>
      <w:marRight w:val="0"/>
      <w:marTop w:val="0"/>
      <w:marBottom w:val="0"/>
      <w:divBdr>
        <w:top w:val="none" w:sz="0" w:space="0" w:color="auto"/>
        <w:left w:val="none" w:sz="0" w:space="0" w:color="auto"/>
        <w:bottom w:val="none" w:sz="0" w:space="0" w:color="auto"/>
        <w:right w:val="none" w:sz="0" w:space="0" w:color="auto"/>
      </w:divBdr>
    </w:div>
    <w:div w:id="827786882">
      <w:bodyDiv w:val="1"/>
      <w:marLeft w:val="0"/>
      <w:marRight w:val="0"/>
      <w:marTop w:val="0"/>
      <w:marBottom w:val="0"/>
      <w:divBdr>
        <w:top w:val="none" w:sz="0" w:space="0" w:color="auto"/>
        <w:left w:val="none" w:sz="0" w:space="0" w:color="auto"/>
        <w:bottom w:val="none" w:sz="0" w:space="0" w:color="auto"/>
        <w:right w:val="none" w:sz="0" w:space="0" w:color="auto"/>
      </w:divBdr>
    </w:div>
    <w:div w:id="923303670">
      <w:bodyDiv w:val="1"/>
      <w:marLeft w:val="0"/>
      <w:marRight w:val="0"/>
      <w:marTop w:val="0"/>
      <w:marBottom w:val="0"/>
      <w:divBdr>
        <w:top w:val="none" w:sz="0" w:space="0" w:color="auto"/>
        <w:left w:val="none" w:sz="0" w:space="0" w:color="auto"/>
        <w:bottom w:val="none" w:sz="0" w:space="0" w:color="auto"/>
        <w:right w:val="none" w:sz="0" w:space="0" w:color="auto"/>
      </w:divBdr>
    </w:div>
    <w:div w:id="999845782">
      <w:bodyDiv w:val="1"/>
      <w:marLeft w:val="0"/>
      <w:marRight w:val="0"/>
      <w:marTop w:val="0"/>
      <w:marBottom w:val="0"/>
      <w:divBdr>
        <w:top w:val="none" w:sz="0" w:space="0" w:color="auto"/>
        <w:left w:val="none" w:sz="0" w:space="0" w:color="auto"/>
        <w:bottom w:val="none" w:sz="0" w:space="0" w:color="auto"/>
        <w:right w:val="none" w:sz="0" w:space="0" w:color="auto"/>
      </w:divBdr>
    </w:div>
    <w:div w:id="1071536696">
      <w:bodyDiv w:val="1"/>
      <w:marLeft w:val="0"/>
      <w:marRight w:val="0"/>
      <w:marTop w:val="0"/>
      <w:marBottom w:val="0"/>
      <w:divBdr>
        <w:top w:val="none" w:sz="0" w:space="0" w:color="auto"/>
        <w:left w:val="none" w:sz="0" w:space="0" w:color="auto"/>
        <w:bottom w:val="none" w:sz="0" w:space="0" w:color="auto"/>
        <w:right w:val="none" w:sz="0" w:space="0" w:color="auto"/>
      </w:divBdr>
    </w:div>
    <w:div w:id="1077944194">
      <w:bodyDiv w:val="1"/>
      <w:marLeft w:val="0"/>
      <w:marRight w:val="0"/>
      <w:marTop w:val="0"/>
      <w:marBottom w:val="0"/>
      <w:divBdr>
        <w:top w:val="none" w:sz="0" w:space="0" w:color="auto"/>
        <w:left w:val="none" w:sz="0" w:space="0" w:color="auto"/>
        <w:bottom w:val="none" w:sz="0" w:space="0" w:color="auto"/>
        <w:right w:val="none" w:sz="0" w:space="0" w:color="auto"/>
      </w:divBdr>
    </w:div>
    <w:div w:id="1110006153">
      <w:bodyDiv w:val="1"/>
      <w:marLeft w:val="0"/>
      <w:marRight w:val="0"/>
      <w:marTop w:val="0"/>
      <w:marBottom w:val="0"/>
      <w:divBdr>
        <w:top w:val="none" w:sz="0" w:space="0" w:color="auto"/>
        <w:left w:val="none" w:sz="0" w:space="0" w:color="auto"/>
        <w:bottom w:val="none" w:sz="0" w:space="0" w:color="auto"/>
        <w:right w:val="none" w:sz="0" w:space="0" w:color="auto"/>
      </w:divBdr>
    </w:div>
    <w:div w:id="1119107314">
      <w:bodyDiv w:val="1"/>
      <w:marLeft w:val="0"/>
      <w:marRight w:val="0"/>
      <w:marTop w:val="0"/>
      <w:marBottom w:val="0"/>
      <w:divBdr>
        <w:top w:val="none" w:sz="0" w:space="0" w:color="auto"/>
        <w:left w:val="none" w:sz="0" w:space="0" w:color="auto"/>
        <w:bottom w:val="none" w:sz="0" w:space="0" w:color="auto"/>
        <w:right w:val="none" w:sz="0" w:space="0" w:color="auto"/>
      </w:divBdr>
    </w:div>
    <w:div w:id="1127431200">
      <w:bodyDiv w:val="1"/>
      <w:marLeft w:val="0"/>
      <w:marRight w:val="0"/>
      <w:marTop w:val="0"/>
      <w:marBottom w:val="0"/>
      <w:divBdr>
        <w:top w:val="none" w:sz="0" w:space="0" w:color="auto"/>
        <w:left w:val="none" w:sz="0" w:space="0" w:color="auto"/>
        <w:bottom w:val="none" w:sz="0" w:space="0" w:color="auto"/>
        <w:right w:val="none" w:sz="0" w:space="0" w:color="auto"/>
      </w:divBdr>
    </w:div>
    <w:div w:id="1192721008">
      <w:bodyDiv w:val="1"/>
      <w:marLeft w:val="0"/>
      <w:marRight w:val="0"/>
      <w:marTop w:val="0"/>
      <w:marBottom w:val="0"/>
      <w:divBdr>
        <w:top w:val="none" w:sz="0" w:space="0" w:color="auto"/>
        <w:left w:val="none" w:sz="0" w:space="0" w:color="auto"/>
        <w:bottom w:val="none" w:sz="0" w:space="0" w:color="auto"/>
        <w:right w:val="none" w:sz="0" w:space="0" w:color="auto"/>
      </w:divBdr>
    </w:div>
    <w:div w:id="1310551420">
      <w:bodyDiv w:val="1"/>
      <w:marLeft w:val="0"/>
      <w:marRight w:val="0"/>
      <w:marTop w:val="0"/>
      <w:marBottom w:val="0"/>
      <w:divBdr>
        <w:top w:val="none" w:sz="0" w:space="0" w:color="auto"/>
        <w:left w:val="none" w:sz="0" w:space="0" w:color="auto"/>
        <w:bottom w:val="none" w:sz="0" w:space="0" w:color="auto"/>
        <w:right w:val="none" w:sz="0" w:space="0" w:color="auto"/>
      </w:divBdr>
    </w:div>
    <w:div w:id="1420056175">
      <w:bodyDiv w:val="1"/>
      <w:marLeft w:val="0"/>
      <w:marRight w:val="0"/>
      <w:marTop w:val="0"/>
      <w:marBottom w:val="0"/>
      <w:divBdr>
        <w:top w:val="none" w:sz="0" w:space="0" w:color="auto"/>
        <w:left w:val="none" w:sz="0" w:space="0" w:color="auto"/>
        <w:bottom w:val="none" w:sz="0" w:space="0" w:color="auto"/>
        <w:right w:val="none" w:sz="0" w:space="0" w:color="auto"/>
      </w:divBdr>
    </w:div>
    <w:div w:id="1543861533">
      <w:bodyDiv w:val="1"/>
      <w:marLeft w:val="0"/>
      <w:marRight w:val="0"/>
      <w:marTop w:val="0"/>
      <w:marBottom w:val="0"/>
      <w:divBdr>
        <w:top w:val="none" w:sz="0" w:space="0" w:color="auto"/>
        <w:left w:val="none" w:sz="0" w:space="0" w:color="auto"/>
        <w:bottom w:val="none" w:sz="0" w:space="0" w:color="auto"/>
        <w:right w:val="none" w:sz="0" w:space="0" w:color="auto"/>
      </w:divBdr>
    </w:div>
    <w:div w:id="1622228716">
      <w:bodyDiv w:val="1"/>
      <w:marLeft w:val="0"/>
      <w:marRight w:val="0"/>
      <w:marTop w:val="0"/>
      <w:marBottom w:val="0"/>
      <w:divBdr>
        <w:top w:val="none" w:sz="0" w:space="0" w:color="auto"/>
        <w:left w:val="none" w:sz="0" w:space="0" w:color="auto"/>
        <w:bottom w:val="none" w:sz="0" w:space="0" w:color="auto"/>
        <w:right w:val="none" w:sz="0" w:space="0" w:color="auto"/>
      </w:divBdr>
    </w:div>
    <w:div w:id="1775176392">
      <w:bodyDiv w:val="1"/>
      <w:marLeft w:val="0"/>
      <w:marRight w:val="0"/>
      <w:marTop w:val="0"/>
      <w:marBottom w:val="0"/>
      <w:divBdr>
        <w:top w:val="none" w:sz="0" w:space="0" w:color="auto"/>
        <w:left w:val="none" w:sz="0" w:space="0" w:color="auto"/>
        <w:bottom w:val="none" w:sz="0" w:space="0" w:color="auto"/>
        <w:right w:val="none" w:sz="0" w:space="0" w:color="auto"/>
      </w:divBdr>
    </w:div>
    <w:div w:id="1865244951">
      <w:bodyDiv w:val="1"/>
      <w:marLeft w:val="0"/>
      <w:marRight w:val="0"/>
      <w:marTop w:val="0"/>
      <w:marBottom w:val="0"/>
      <w:divBdr>
        <w:top w:val="none" w:sz="0" w:space="0" w:color="auto"/>
        <w:left w:val="none" w:sz="0" w:space="0" w:color="auto"/>
        <w:bottom w:val="none" w:sz="0" w:space="0" w:color="auto"/>
        <w:right w:val="none" w:sz="0" w:space="0" w:color="auto"/>
      </w:divBdr>
    </w:div>
    <w:div w:id="2038696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customXml" Target="../customXml/item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1" Type="http://schemas.openxmlformats.org/officeDocument/2006/relationships/header" Target="header1.xml"/><Relationship Id="rId6" Type="http://schemas.openxmlformats.org/officeDocument/2006/relationships/styles" Target="styles.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MS Document" ma:contentTypeID="0x01010087D5B2111909B5468516641971DCE20A006605ACCCA547F24092BCAB6B4541510F" ma:contentTypeVersion="12" ma:contentTypeDescription=" " ma:contentTypeScope="" ma:versionID="3c8e632808185aec7db2454575c5d532">
  <xsd:schema xmlns:xsd="http://www.w3.org/2001/XMLSchema" xmlns:xs="http://www.w3.org/2001/XMLSchema" xmlns:p="http://schemas.microsoft.com/office/2006/metadata/properties" xmlns:ns2="c75dc847-7b58-43df-9a07-02420b318a4f" xmlns:ns4="e7ef645b-2738-432b-ad8c-459b658a00ca" xmlns:ns5="d04c179c-fbe8-4f97-92ae-470360874de1" targetNamespace="http://schemas.microsoft.com/office/2006/metadata/properties" ma:root="true" ma:fieldsID="236cd5b2ccbaf89ab40dd3364d2546d3" ns2:_="" ns4:_="" ns5:_="">
    <xsd:import namespace="c75dc847-7b58-43df-9a07-02420b318a4f"/>
    <xsd:import namespace="e7ef645b-2738-432b-ad8c-459b658a00ca"/>
    <xsd:import namespace="d04c179c-fbe8-4f97-92ae-470360874de1"/>
    <xsd:element name="properties">
      <xsd:complexType>
        <xsd:sequence>
          <xsd:element name="documentManagement">
            <xsd:complexType>
              <xsd:all>
                <xsd:element ref="ns2:hcf60d1855a04bfba2fbccb16e64ac51" minOccurs="0"/>
                <xsd:element ref="ns2:TaxCatchAll" minOccurs="0"/>
                <xsd:element ref="ns2:TaxCatchAllLabel" minOccurs="0"/>
                <xsd:element ref="ns2:ma94e963cec447ddbb540abdffbfb61b" minOccurs="0"/>
                <xsd:element ref="ns2:k53aee2131224886be5acb59507f64e2" minOccurs="0"/>
                <xsd:element ref="ns2:gf283d17bf4b4b12b5854eedadddadd8" minOccurs="0"/>
                <xsd:element ref="ns2:k819937d1b894a15a12560e028b405f1" minOccurs="0"/>
                <xsd:element ref="ns2:ERMSReference" minOccurs="0"/>
                <xsd:element ref="ns4:_dlc_DocId" minOccurs="0"/>
                <xsd:element ref="ns4:_dlc_DocIdUrl" minOccurs="0"/>
                <xsd:element ref="ns4:_dlc_DocIdPersistId" minOccurs="0"/>
                <xsd:element ref="ns5:MediaServiceMetadata" minOccurs="0"/>
                <xsd:element ref="ns5:MediaServiceFastMetadata"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5dc847-7b58-43df-9a07-02420b318a4f" elementFormDefault="qualified">
    <xsd:import namespace="http://schemas.microsoft.com/office/2006/documentManagement/types"/>
    <xsd:import namespace="http://schemas.microsoft.com/office/infopath/2007/PartnerControls"/>
    <xsd:element name="hcf60d1855a04bfba2fbccb16e64ac51" ma:index="8" ma:taxonomy="true" ma:internalName="hcf60d1855a04bfba2fbccb16e64ac51" ma:taxonomyFieldName="ERMSSecurityClassification" ma:displayName="Security Classification" ma:fieldId="{1cf60d18-55a0-4bfb-a2fb-ccb16e64ac51}" ma:sspId="139ef8c6-609c-46fa-9e5c-e4dc5d0a7c09" ma:termSetId="673b35fc-d1ea-4ada-8830-1301a6a98f88"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ef93d45a-a0ab-4a5b-9136-ac99b4bbbe71}" ma:internalName="TaxCatchAll" ma:showField="CatchAllData" ma:web="e7ef645b-2738-432b-ad8c-459b658a00ca">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ef93d45a-a0ab-4a5b-9136-ac99b4bbbe71}" ma:internalName="TaxCatchAllLabel" ma:readOnly="true" ma:showField="CatchAllDataLabel" ma:web="e7ef645b-2738-432b-ad8c-459b658a00ca">
      <xsd:complexType>
        <xsd:complexContent>
          <xsd:extension base="dms:MultiChoiceLookup">
            <xsd:sequence>
              <xsd:element name="Value" type="dms:Lookup" maxOccurs="unbounded" minOccurs="0" nillable="true"/>
            </xsd:sequence>
          </xsd:extension>
        </xsd:complexContent>
      </xsd:complexType>
    </xsd:element>
    <xsd:element name="ma94e963cec447ddbb540abdffbfb61b" ma:index="12" ma:taxonomy="true" ma:internalName="ma94e963cec447ddbb540abdffbfb61b" ma:taxonomyFieldName="ERMSTaxonomy" ma:displayName="Taxonomy" ma:fieldId="{6a94e963-cec4-47dd-bb54-0abdffbfb61b}" ma:sspId="139ef8c6-609c-46fa-9e5c-e4dc5d0a7c09" ma:termSetId="fa589d32-1f1c-4feb-b215-4c8fbd485caa" ma:anchorId="00000000-0000-0000-0000-000000000000" ma:open="false" ma:isKeyword="false">
      <xsd:complexType>
        <xsd:sequence>
          <xsd:element ref="pc:Terms" minOccurs="0" maxOccurs="1"/>
        </xsd:sequence>
      </xsd:complexType>
    </xsd:element>
    <xsd:element name="k53aee2131224886be5acb59507f64e2" ma:index="14" nillable="true" ma:taxonomy="true" ma:internalName="k53aee2131224886be5acb59507f64e2" ma:taxonomyFieldName="ERMSBusinessArea" ma:displayName="Business Area" ma:fieldId="{453aee21-3122-4886-be5a-cb59507f64e2}" ma:sspId="139ef8c6-609c-46fa-9e5c-e4dc5d0a7c09" ma:termSetId="05814c09-75ea-4aeb-bed2-72fb9104469d" ma:anchorId="00000000-0000-0000-0000-000000000000" ma:open="false" ma:isKeyword="false">
      <xsd:complexType>
        <xsd:sequence>
          <xsd:element ref="pc:Terms" minOccurs="0" maxOccurs="1"/>
        </xsd:sequence>
      </xsd:complexType>
    </xsd:element>
    <xsd:element name="gf283d17bf4b4b12b5854eedadddadd8" ma:index="16" nillable="true" ma:taxonomy="true" ma:internalName="gf283d17bf4b4b12b5854eedadddadd8" ma:taxonomyFieldName="ERMSDocumentType" ma:displayName="Document Type" ma:fieldId="{0f283d17-bf4b-4b12-b585-4eedadddadd8}" ma:sspId="139ef8c6-609c-46fa-9e5c-e4dc5d0a7c09" ma:termSetId="901b5cbb-17ee-4316-9df9-097f12ba81cf" ma:anchorId="00000000-0000-0000-0000-000000000000" ma:open="false" ma:isKeyword="false">
      <xsd:complexType>
        <xsd:sequence>
          <xsd:element ref="pc:Terms" minOccurs="0" maxOccurs="1"/>
        </xsd:sequence>
      </xsd:complexType>
    </xsd:element>
    <xsd:element name="k819937d1b894a15a12560e028b405f1" ma:index="18" nillable="true" ma:taxonomy="true" ma:internalName="k819937d1b894a15a12560e028b405f1" ma:taxonomyFieldName="ERMSEBA_x0020_Subject" ma:displayName="EBA Subject" ma:fieldId="{4819937d-1b89-4a15-a125-60e028b405f1}" ma:sspId="139ef8c6-609c-46fa-9e5c-e4dc5d0a7c09" ma:termSetId="b2f95247-900d-4327-9a1b-1f5c0a168dca" ma:anchorId="00000000-0000-0000-0000-000000000000" ma:open="false" ma:isKeyword="false">
      <xsd:complexType>
        <xsd:sequence>
          <xsd:element ref="pc:Terms" minOccurs="0" maxOccurs="1"/>
        </xsd:sequence>
      </xsd:complexType>
    </xsd:element>
    <xsd:element name="ERMSReference" ma:index="20" nillable="true" ma:displayName="Reference" ma:internalName="ERMSReferenc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ef645b-2738-432b-ad8c-459b658a00ca" elementFormDefault="qualified">
    <xsd:import namespace="http://schemas.microsoft.com/office/2006/documentManagement/types"/>
    <xsd:import namespace="http://schemas.microsoft.com/office/infopath/2007/PartnerControls"/>
    <xsd:element name="_dlc_DocId" ma:index="23" nillable="true" ma:displayName="Document ID Value" ma:description="The value of the document ID assigned to this item." ma:indexed="true" ma:internalName="_dlc_DocId" ma:readOnly="true">
      <xsd:simpleType>
        <xsd:restriction base="dms:Text"/>
      </xsd:simpleType>
    </xsd:element>
    <xsd:element name="_dlc_DocIdUrl" ma:index="2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4c179c-fbe8-4f97-92ae-470360874de1"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2"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ma:index="21"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3ACA5DD4C831574089FB0AE5E8C4C690" ma:contentTypeVersion="3" ma:contentTypeDescription="Create a new document." ma:contentTypeScope="" ma:versionID="7356b966b4c8b6aa8e652ec495959739">
  <xsd:schema xmlns:xsd="http://www.w3.org/2001/XMLSchema" xmlns:xs="http://www.w3.org/2001/XMLSchema" xmlns:p="http://schemas.microsoft.com/office/2006/metadata/properties" xmlns:ns2="c7bb3d43-5980-4e8f-9daf-903cdecf5247" targetNamespace="http://schemas.microsoft.com/office/2006/metadata/properties" ma:root="true" ma:fieldsID="ff7f42349dedeae813d744f913921a61" ns2:_="">
    <xsd:import namespace="c7bb3d43-5980-4e8f-9daf-903cdecf524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b3d43-5980-4e8f-9daf-903cdecf52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139ef8c6-609c-46fa-9e5c-e4dc5d0a7c09" ContentTypeId="0x01010087D5B2111909B5468516641971DCE20A" PreviousValue="false" LastSyncTimeStamp="2025-07-01T16:46:32.21Z"/>
</file>

<file path=customXml/itemProps1.xml><?xml version="1.0" encoding="utf-8"?>
<ds:datastoreItem xmlns:ds="http://schemas.openxmlformats.org/officeDocument/2006/customXml" ds:itemID="{26A136ED-7AC4-4216-8F4C-8B28278B3335}"/>
</file>

<file path=customXml/itemProps2.xml><?xml version="1.0" encoding="utf-8"?>
<ds:datastoreItem xmlns:ds="http://schemas.openxmlformats.org/officeDocument/2006/customXml" ds:itemID="{73D0EF42-07C8-483B-ADF2-5CE5C94869C9}">
  <ds:schemaRefs>
    <ds:schemaRef ds:uri="http://schemas.microsoft.com/sharepoint/v3/contenttype/forms"/>
  </ds:schemaRefs>
</ds:datastoreItem>
</file>

<file path=customXml/itemProps3.xml><?xml version="1.0" encoding="utf-8"?>
<ds:datastoreItem xmlns:ds="http://schemas.openxmlformats.org/officeDocument/2006/customXml" ds:itemID="{5B8F6CBB-1F32-476C-9177-F6161B7D099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0D903E8-976A-4911-AA4D-4A107B94B3B2}">
  <ds:schemaRefs>
    <ds:schemaRef ds:uri="http://schemas.openxmlformats.org/officeDocument/2006/bibliography"/>
  </ds:schemaRefs>
</ds:datastoreItem>
</file>

<file path=customXml/itemProps5.xml><?xml version="1.0" encoding="utf-8"?>
<ds:datastoreItem xmlns:ds="http://schemas.openxmlformats.org/officeDocument/2006/customXml" ds:itemID="{D30B0C2B-88B7-462C-81F9-A928DB65D5C2}"/>
</file>

<file path=customXml/itemProps6.xml><?xml version="1.0" encoding="utf-8"?>
<ds:datastoreItem xmlns:ds="http://schemas.openxmlformats.org/officeDocument/2006/customXml" ds:itemID="{285D3A70-4764-4626-A072-ED026090213E}"/>
</file>

<file path=docMetadata/LabelInfo.xml><?xml version="1.0" encoding="utf-8"?>
<clbl:labelList xmlns:clbl="http://schemas.microsoft.com/office/2020/mipLabelMetadata">
  <clbl:label id="{5c7eb9de-735b-4a68-8fe4-c9c62709b012}" enabled="1" method="Standard" siteId="{3bacb4ff-f1a2-4c92-b96c-e99fec826b68}" removed="0"/>
</clbl:labelList>
</file>

<file path=docProps/app.xml><?xml version="1.0" encoding="utf-8"?>
<Properties xmlns="http://schemas.openxmlformats.org/officeDocument/2006/extended-properties" xmlns:vt="http://schemas.openxmlformats.org/officeDocument/2006/docPropsVTypes">
  <Template>Normal</Template>
  <TotalTime>112</TotalTime>
  <Pages>12</Pages>
  <Words>3976</Words>
  <Characters>20737</Characters>
  <Application>Microsoft Office Word</Application>
  <DocSecurity>0</DocSecurity>
  <Lines>605</Lines>
  <Paragraphs>243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24563</CharactersWithSpaces>
  <SharedDoc>false</SharedDoc>
  <HLinks>
    <vt:vector size="1110" baseType="variant">
      <vt:variant>
        <vt:i4>1376257</vt:i4>
      </vt:variant>
      <vt:variant>
        <vt:i4>1479</vt:i4>
      </vt:variant>
      <vt:variant>
        <vt:i4>0</vt:i4>
      </vt:variant>
      <vt:variant>
        <vt:i4>5</vt:i4>
      </vt:variant>
      <vt:variant>
        <vt:lpwstr>https://www.iso.org/iso-4217-currency-codes.html</vt:lpwstr>
      </vt:variant>
      <vt:variant>
        <vt:lpwstr/>
      </vt:variant>
      <vt:variant>
        <vt:i4>1376257</vt:i4>
      </vt:variant>
      <vt:variant>
        <vt:i4>1476</vt:i4>
      </vt:variant>
      <vt:variant>
        <vt:i4>0</vt:i4>
      </vt:variant>
      <vt:variant>
        <vt:i4>5</vt:i4>
      </vt:variant>
      <vt:variant>
        <vt:lpwstr>https://www.iso.org/iso-4217-currency-codes.html</vt:lpwstr>
      </vt:variant>
      <vt:variant>
        <vt:lpwstr/>
      </vt:variant>
      <vt:variant>
        <vt:i4>2031666</vt:i4>
      </vt:variant>
      <vt:variant>
        <vt:i4>1094</vt:i4>
      </vt:variant>
      <vt:variant>
        <vt:i4>0</vt:i4>
      </vt:variant>
      <vt:variant>
        <vt:i4>5</vt:i4>
      </vt:variant>
      <vt:variant>
        <vt:lpwstr/>
      </vt:variant>
      <vt:variant>
        <vt:lpwstr>_Toc152862773</vt:lpwstr>
      </vt:variant>
      <vt:variant>
        <vt:i4>2031666</vt:i4>
      </vt:variant>
      <vt:variant>
        <vt:i4>1088</vt:i4>
      </vt:variant>
      <vt:variant>
        <vt:i4>0</vt:i4>
      </vt:variant>
      <vt:variant>
        <vt:i4>5</vt:i4>
      </vt:variant>
      <vt:variant>
        <vt:lpwstr/>
      </vt:variant>
      <vt:variant>
        <vt:lpwstr>_Toc152862772</vt:lpwstr>
      </vt:variant>
      <vt:variant>
        <vt:i4>2031666</vt:i4>
      </vt:variant>
      <vt:variant>
        <vt:i4>1082</vt:i4>
      </vt:variant>
      <vt:variant>
        <vt:i4>0</vt:i4>
      </vt:variant>
      <vt:variant>
        <vt:i4>5</vt:i4>
      </vt:variant>
      <vt:variant>
        <vt:lpwstr/>
      </vt:variant>
      <vt:variant>
        <vt:lpwstr>_Toc152862771</vt:lpwstr>
      </vt:variant>
      <vt:variant>
        <vt:i4>2031666</vt:i4>
      </vt:variant>
      <vt:variant>
        <vt:i4>1076</vt:i4>
      </vt:variant>
      <vt:variant>
        <vt:i4>0</vt:i4>
      </vt:variant>
      <vt:variant>
        <vt:i4>5</vt:i4>
      </vt:variant>
      <vt:variant>
        <vt:lpwstr/>
      </vt:variant>
      <vt:variant>
        <vt:lpwstr>_Toc152862770</vt:lpwstr>
      </vt:variant>
      <vt:variant>
        <vt:i4>1966130</vt:i4>
      </vt:variant>
      <vt:variant>
        <vt:i4>1070</vt:i4>
      </vt:variant>
      <vt:variant>
        <vt:i4>0</vt:i4>
      </vt:variant>
      <vt:variant>
        <vt:i4>5</vt:i4>
      </vt:variant>
      <vt:variant>
        <vt:lpwstr/>
      </vt:variant>
      <vt:variant>
        <vt:lpwstr>_Toc152862769</vt:lpwstr>
      </vt:variant>
      <vt:variant>
        <vt:i4>1966130</vt:i4>
      </vt:variant>
      <vt:variant>
        <vt:i4>1064</vt:i4>
      </vt:variant>
      <vt:variant>
        <vt:i4>0</vt:i4>
      </vt:variant>
      <vt:variant>
        <vt:i4>5</vt:i4>
      </vt:variant>
      <vt:variant>
        <vt:lpwstr/>
      </vt:variant>
      <vt:variant>
        <vt:lpwstr>_Toc152862768</vt:lpwstr>
      </vt:variant>
      <vt:variant>
        <vt:i4>1966130</vt:i4>
      </vt:variant>
      <vt:variant>
        <vt:i4>1058</vt:i4>
      </vt:variant>
      <vt:variant>
        <vt:i4>0</vt:i4>
      </vt:variant>
      <vt:variant>
        <vt:i4>5</vt:i4>
      </vt:variant>
      <vt:variant>
        <vt:lpwstr/>
      </vt:variant>
      <vt:variant>
        <vt:lpwstr>_Toc152862767</vt:lpwstr>
      </vt:variant>
      <vt:variant>
        <vt:i4>1966130</vt:i4>
      </vt:variant>
      <vt:variant>
        <vt:i4>1052</vt:i4>
      </vt:variant>
      <vt:variant>
        <vt:i4>0</vt:i4>
      </vt:variant>
      <vt:variant>
        <vt:i4>5</vt:i4>
      </vt:variant>
      <vt:variant>
        <vt:lpwstr/>
      </vt:variant>
      <vt:variant>
        <vt:lpwstr>_Toc152862766</vt:lpwstr>
      </vt:variant>
      <vt:variant>
        <vt:i4>1966130</vt:i4>
      </vt:variant>
      <vt:variant>
        <vt:i4>1046</vt:i4>
      </vt:variant>
      <vt:variant>
        <vt:i4>0</vt:i4>
      </vt:variant>
      <vt:variant>
        <vt:i4>5</vt:i4>
      </vt:variant>
      <vt:variant>
        <vt:lpwstr/>
      </vt:variant>
      <vt:variant>
        <vt:lpwstr>_Toc152862765</vt:lpwstr>
      </vt:variant>
      <vt:variant>
        <vt:i4>1966130</vt:i4>
      </vt:variant>
      <vt:variant>
        <vt:i4>1040</vt:i4>
      </vt:variant>
      <vt:variant>
        <vt:i4>0</vt:i4>
      </vt:variant>
      <vt:variant>
        <vt:i4>5</vt:i4>
      </vt:variant>
      <vt:variant>
        <vt:lpwstr/>
      </vt:variant>
      <vt:variant>
        <vt:lpwstr>_Toc152862764</vt:lpwstr>
      </vt:variant>
      <vt:variant>
        <vt:i4>1966130</vt:i4>
      </vt:variant>
      <vt:variant>
        <vt:i4>1034</vt:i4>
      </vt:variant>
      <vt:variant>
        <vt:i4>0</vt:i4>
      </vt:variant>
      <vt:variant>
        <vt:i4>5</vt:i4>
      </vt:variant>
      <vt:variant>
        <vt:lpwstr/>
      </vt:variant>
      <vt:variant>
        <vt:lpwstr>_Toc152862763</vt:lpwstr>
      </vt:variant>
      <vt:variant>
        <vt:i4>1966130</vt:i4>
      </vt:variant>
      <vt:variant>
        <vt:i4>1028</vt:i4>
      </vt:variant>
      <vt:variant>
        <vt:i4>0</vt:i4>
      </vt:variant>
      <vt:variant>
        <vt:i4>5</vt:i4>
      </vt:variant>
      <vt:variant>
        <vt:lpwstr/>
      </vt:variant>
      <vt:variant>
        <vt:lpwstr>_Toc152862762</vt:lpwstr>
      </vt:variant>
      <vt:variant>
        <vt:i4>1966130</vt:i4>
      </vt:variant>
      <vt:variant>
        <vt:i4>1022</vt:i4>
      </vt:variant>
      <vt:variant>
        <vt:i4>0</vt:i4>
      </vt:variant>
      <vt:variant>
        <vt:i4>5</vt:i4>
      </vt:variant>
      <vt:variant>
        <vt:lpwstr/>
      </vt:variant>
      <vt:variant>
        <vt:lpwstr>_Toc152862761</vt:lpwstr>
      </vt:variant>
      <vt:variant>
        <vt:i4>1966130</vt:i4>
      </vt:variant>
      <vt:variant>
        <vt:i4>1016</vt:i4>
      </vt:variant>
      <vt:variant>
        <vt:i4>0</vt:i4>
      </vt:variant>
      <vt:variant>
        <vt:i4>5</vt:i4>
      </vt:variant>
      <vt:variant>
        <vt:lpwstr/>
      </vt:variant>
      <vt:variant>
        <vt:lpwstr>_Toc152862760</vt:lpwstr>
      </vt:variant>
      <vt:variant>
        <vt:i4>1900594</vt:i4>
      </vt:variant>
      <vt:variant>
        <vt:i4>1010</vt:i4>
      </vt:variant>
      <vt:variant>
        <vt:i4>0</vt:i4>
      </vt:variant>
      <vt:variant>
        <vt:i4>5</vt:i4>
      </vt:variant>
      <vt:variant>
        <vt:lpwstr/>
      </vt:variant>
      <vt:variant>
        <vt:lpwstr>_Toc152862759</vt:lpwstr>
      </vt:variant>
      <vt:variant>
        <vt:i4>1900594</vt:i4>
      </vt:variant>
      <vt:variant>
        <vt:i4>1004</vt:i4>
      </vt:variant>
      <vt:variant>
        <vt:i4>0</vt:i4>
      </vt:variant>
      <vt:variant>
        <vt:i4>5</vt:i4>
      </vt:variant>
      <vt:variant>
        <vt:lpwstr/>
      </vt:variant>
      <vt:variant>
        <vt:lpwstr>_Toc152862758</vt:lpwstr>
      </vt:variant>
      <vt:variant>
        <vt:i4>1900594</vt:i4>
      </vt:variant>
      <vt:variant>
        <vt:i4>998</vt:i4>
      </vt:variant>
      <vt:variant>
        <vt:i4>0</vt:i4>
      </vt:variant>
      <vt:variant>
        <vt:i4>5</vt:i4>
      </vt:variant>
      <vt:variant>
        <vt:lpwstr/>
      </vt:variant>
      <vt:variant>
        <vt:lpwstr>_Toc152862757</vt:lpwstr>
      </vt:variant>
      <vt:variant>
        <vt:i4>1900594</vt:i4>
      </vt:variant>
      <vt:variant>
        <vt:i4>992</vt:i4>
      </vt:variant>
      <vt:variant>
        <vt:i4>0</vt:i4>
      </vt:variant>
      <vt:variant>
        <vt:i4>5</vt:i4>
      </vt:variant>
      <vt:variant>
        <vt:lpwstr/>
      </vt:variant>
      <vt:variant>
        <vt:lpwstr>_Toc152862756</vt:lpwstr>
      </vt:variant>
      <vt:variant>
        <vt:i4>1900594</vt:i4>
      </vt:variant>
      <vt:variant>
        <vt:i4>986</vt:i4>
      </vt:variant>
      <vt:variant>
        <vt:i4>0</vt:i4>
      </vt:variant>
      <vt:variant>
        <vt:i4>5</vt:i4>
      </vt:variant>
      <vt:variant>
        <vt:lpwstr/>
      </vt:variant>
      <vt:variant>
        <vt:lpwstr>_Toc152862755</vt:lpwstr>
      </vt:variant>
      <vt:variant>
        <vt:i4>1900594</vt:i4>
      </vt:variant>
      <vt:variant>
        <vt:i4>980</vt:i4>
      </vt:variant>
      <vt:variant>
        <vt:i4>0</vt:i4>
      </vt:variant>
      <vt:variant>
        <vt:i4>5</vt:i4>
      </vt:variant>
      <vt:variant>
        <vt:lpwstr/>
      </vt:variant>
      <vt:variant>
        <vt:lpwstr>_Toc152862754</vt:lpwstr>
      </vt:variant>
      <vt:variant>
        <vt:i4>1900594</vt:i4>
      </vt:variant>
      <vt:variant>
        <vt:i4>974</vt:i4>
      </vt:variant>
      <vt:variant>
        <vt:i4>0</vt:i4>
      </vt:variant>
      <vt:variant>
        <vt:i4>5</vt:i4>
      </vt:variant>
      <vt:variant>
        <vt:lpwstr/>
      </vt:variant>
      <vt:variant>
        <vt:lpwstr>_Toc152862753</vt:lpwstr>
      </vt:variant>
      <vt:variant>
        <vt:i4>1900594</vt:i4>
      </vt:variant>
      <vt:variant>
        <vt:i4>968</vt:i4>
      </vt:variant>
      <vt:variant>
        <vt:i4>0</vt:i4>
      </vt:variant>
      <vt:variant>
        <vt:i4>5</vt:i4>
      </vt:variant>
      <vt:variant>
        <vt:lpwstr/>
      </vt:variant>
      <vt:variant>
        <vt:lpwstr>_Toc152862752</vt:lpwstr>
      </vt:variant>
      <vt:variant>
        <vt:i4>1900594</vt:i4>
      </vt:variant>
      <vt:variant>
        <vt:i4>962</vt:i4>
      </vt:variant>
      <vt:variant>
        <vt:i4>0</vt:i4>
      </vt:variant>
      <vt:variant>
        <vt:i4>5</vt:i4>
      </vt:variant>
      <vt:variant>
        <vt:lpwstr/>
      </vt:variant>
      <vt:variant>
        <vt:lpwstr>_Toc152862751</vt:lpwstr>
      </vt:variant>
      <vt:variant>
        <vt:i4>1900594</vt:i4>
      </vt:variant>
      <vt:variant>
        <vt:i4>956</vt:i4>
      </vt:variant>
      <vt:variant>
        <vt:i4>0</vt:i4>
      </vt:variant>
      <vt:variant>
        <vt:i4>5</vt:i4>
      </vt:variant>
      <vt:variant>
        <vt:lpwstr/>
      </vt:variant>
      <vt:variant>
        <vt:lpwstr>_Toc152862750</vt:lpwstr>
      </vt:variant>
      <vt:variant>
        <vt:i4>1835058</vt:i4>
      </vt:variant>
      <vt:variant>
        <vt:i4>950</vt:i4>
      </vt:variant>
      <vt:variant>
        <vt:i4>0</vt:i4>
      </vt:variant>
      <vt:variant>
        <vt:i4>5</vt:i4>
      </vt:variant>
      <vt:variant>
        <vt:lpwstr/>
      </vt:variant>
      <vt:variant>
        <vt:lpwstr>_Toc152862749</vt:lpwstr>
      </vt:variant>
      <vt:variant>
        <vt:i4>1835058</vt:i4>
      </vt:variant>
      <vt:variant>
        <vt:i4>944</vt:i4>
      </vt:variant>
      <vt:variant>
        <vt:i4>0</vt:i4>
      </vt:variant>
      <vt:variant>
        <vt:i4>5</vt:i4>
      </vt:variant>
      <vt:variant>
        <vt:lpwstr/>
      </vt:variant>
      <vt:variant>
        <vt:lpwstr>_Toc152862748</vt:lpwstr>
      </vt:variant>
      <vt:variant>
        <vt:i4>1835058</vt:i4>
      </vt:variant>
      <vt:variant>
        <vt:i4>938</vt:i4>
      </vt:variant>
      <vt:variant>
        <vt:i4>0</vt:i4>
      </vt:variant>
      <vt:variant>
        <vt:i4>5</vt:i4>
      </vt:variant>
      <vt:variant>
        <vt:lpwstr/>
      </vt:variant>
      <vt:variant>
        <vt:lpwstr>_Toc152862747</vt:lpwstr>
      </vt:variant>
      <vt:variant>
        <vt:i4>1835058</vt:i4>
      </vt:variant>
      <vt:variant>
        <vt:i4>932</vt:i4>
      </vt:variant>
      <vt:variant>
        <vt:i4>0</vt:i4>
      </vt:variant>
      <vt:variant>
        <vt:i4>5</vt:i4>
      </vt:variant>
      <vt:variant>
        <vt:lpwstr/>
      </vt:variant>
      <vt:variant>
        <vt:lpwstr>_Toc152862746</vt:lpwstr>
      </vt:variant>
      <vt:variant>
        <vt:i4>1835058</vt:i4>
      </vt:variant>
      <vt:variant>
        <vt:i4>926</vt:i4>
      </vt:variant>
      <vt:variant>
        <vt:i4>0</vt:i4>
      </vt:variant>
      <vt:variant>
        <vt:i4>5</vt:i4>
      </vt:variant>
      <vt:variant>
        <vt:lpwstr/>
      </vt:variant>
      <vt:variant>
        <vt:lpwstr>_Toc152862745</vt:lpwstr>
      </vt:variant>
      <vt:variant>
        <vt:i4>1835058</vt:i4>
      </vt:variant>
      <vt:variant>
        <vt:i4>920</vt:i4>
      </vt:variant>
      <vt:variant>
        <vt:i4>0</vt:i4>
      </vt:variant>
      <vt:variant>
        <vt:i4>5</vt:i4>
      </vt:variant>
      <vt:variant>
        <vt:lpwstr/>
      </vt:variant>
      <vt:variant>
        <vt:lpwstr>_Toc152862744</vt:lpwstr>
      </vt:variant>
      <vt:variant>
        <vt:i4>1835058</vt:i4>
      </vt:variant>
      <vt:variant>
        <vt:i4>914</vt:i4>
      </vt:variant>
      <vt:variant>
        <vt:i4>0</vt:i4>
      </vt:variant>
      <vt:variant>
        <vt:i4>5</vt:i4>
      </vt:variant>
      <vt:variant>
        <vt:lpwstr/>
      </vt:variant>
      <vt:variant>
        <vt:lpwstr>_Toc152862743</vt:lpwstr>
      </vt:variant>
      <vt:variant>
        <vt:i4>1835058</vt:i4>
      </vt:variant>
      <vt:variant>
        <vt:i4>908</vt:i4>
      </vt:variant>
      <vt:variant>
        <vt:i4>0</vt:i4>
      </vt:variant>
      <vt:variant>
        <vt:i4>5</vt:i4>
      </vt:variant>
      <vt:variant>
        <vt:lpwstr/>
      </vt:variant>
      <vt:variant>
        <vt:lpwstr>_Toc152862742</vt:lpwstr>
      </vt:variant>
      <vt:variant>
        <vt:i4>1835058</vt:i4>
      </vt:variant>
      <vt:variant>
        <vt:i4>902</vt:i4>
      </vt:variant>
      <vt:variant>
        <vt:i4>0</vt:i4>
      </vt:variant>
      <vt:variant>
        <vt:i4>5</vt:i4>
      </vt:variant>
      <vt:variant>
        <vt:lpwstr/>
      </vt:variant>
      <vt:variant>
        <vt:lpwstr>_Toc152862741</vt:lpwstr>
      </vt:variant>
      <vt:variant>
        <vt:i4>1835058</vt:i4>
      </vt:variant>
      <vt:variant>
        <vt:i4>896</vt:i4>
      </vt:variant>
      <vt:variant>
        <vt:i4>0</vt:i4>
      </vt:variant>
      <vt:variant>
        <vt:i4>5</vt:i4>
      </vt:variant>
      <vt:variant>
        <vt:lpwstr/>
      </vt:variant>
      <vt:variant>
        <vt:lpwstr>_Toc152862740</vt:lpwstr>
      </vt:variant>
      <vt:variant>
        <vt:i4>1769522</vt:i4>
      </vt:variant>
      <vt:variant>
        <vt:i4>890</vt:i4>
      </vt:variant>
      <vt:variant>
        <vt:i4>0</vt:i4>
      </vt:variant>
      <vt:variant>
        <vt:i4>5</vt:i4>
      </vt:variant>
      <vt:variant>
        <vt:lpwstr/>
      </vt:variant>
      <vt:variant>
        <vt:lpwstr>_Toc152862739</vt:lpwstr>
      </vt:variant>
      <vt:variant>
        <vt:i4>1769522</vt:i4>
      </vt:variant>
      <vt:variant>
        <vt:i4>884</vt:i4>
      </vt:variant>
      <vt:variant>
        <vt:i4>0</vt:i4>
      </vt:variant>
      <vt:variant>
        <vt:i4>5</vt:i4>
      </vt:variant>
      <vt:variant>
        <vt:lpwstr/>
      </vt:variant>
      <vt:variant>
        <vt:lpwstr>_Toc152862738</vt:lpwstr>
      </vt:variant>
      <vt:variant>
        <vt:i4>1769522</vt:i4>
      </vt:variant>
      <vt:variant>
        <vt:i4>878</vt:i4>
      </vt:variant>
      <vt:variant>
        <vt:i4>0</vt:i4>
      </vt:variant>
      <vt:variant>
        <vt:i4>5</vt:i4>
      </vt:variant>
      <vt:variant>
        <vt:lpwstr/>
      </vt:variant>
      <vt:variant>
        <vt:lpwstr>_Toc152862737</vt:lpwstr>
      </vt:variant>
      <vt:variant>
        <vt:i4>1769522</vt:i4>
      </vt:variant>
      <vt:variant>
        <vt:i4>872</vt:i4>
      </vt:variant>
      <vt:variant>
        <vt:i4>0</vt:i4>
      </vt:variant>
      <vt:variant>
        <vt:i4>5</vt:i4>
      </vt:variant>
      <vt:variant>
        <vt:lpwstr/>
      </vt:variant>
      <vt:variant>
        <vt:lpwstr>_Toc152862736</vt:lpwstr>
      </vt:variant>
      <vt:variant>
        <vt:i4>1769522</vt:i4>
      </vt:variant>
      <vt:variant>
        <vt:i4>866</vt:i4>
      </vt:variant>
      <vt:variant>
        <vt:i4>0</vt:i4>
      </vt:variant>
      <vt:variant>
        <vt:i4>5</vt:i4>
      </vt:variant>
      <vt:variant>
        <vt:lpwstr/>
      </vt:variant>
      <vt:variant>
        <vt:lpwstr>_Toc152862735</vt:lpwstr>
      </vt:variant>
      <vt:variant>
        <vt:i4>1769522</vt:i4>
      </vt:variant>
      <vt:variant>
        <vt:i4>860</vt:i4>
      </vt:variant>
      <vt:variant>
        <vt:i4>0</vt:i4>
      </vt:variant>
      <vt:variant>
        <vt:i4>5</vt:i4>
      </vt:variant>
      <vt:variant>
        <vt:lpwstr/>
      </vt:variant>
      <vt:variant>
        <vt:lpwstr>_Toc152862734</vt:lpwstr>
      </vt:variant>
      <vt:variant>
        <vt:i4>1769522</vt:i4>
      </vt:variant>
      <vt:variant>
        <vt:i4>854</vt:i4>
      </vt:variant>
      <vt:variant>
        <vt:i4>0</vt:i4>
      </vt:variant>
      <vt:variant>
        <vt:i4>5</vt:i4>
      </vt:variant>
      <vt:variant>
        <vt:lpwstr/>
      </vt:variant>
      <vt:variant>
        <vt:lpwstr>_Toc152862733</vt:lpwstr>
      </vt:variant>
      <vt:variant>
        <vt:i4>1769522</vt:i4>
      </vt:variant>
      <vt:variant>
        <vt:i4>848</vt:i4>
      </vt:variant>
      <vt:variant>
        <vt:i4>0</vt:i4>
      </vt:variant>
      <vt:variant>
        <vt:i4>5</vt:i4>
      </vt:variant>
      <vt:variant>
        <vt:lpwstr/>
      </vt:variant>
      <vt:variant>
        <vt:lpwstr>_Toc152862732</vt:lpwstr>
      </vt:variant>
      <vt:variant>
        <vt:i4>1769522</vt:i4>
      </vt:variant>
      <vt:variant>
        <vt:i4>842</vt:i4>
      </vt:variant>
      <vt:variant>
        <vt:i4>0</vt:i4>
      </vt:variant>
      <vt:variant>
        <vt:i4>5</vt:i4>
      </vt:variant>
      <vt:variant>
        <vt:lpwstr/>
      </vt:variant>
      <vt:variant>
        <vt:lpwstr>_Toc152862731</vt:lpwstr>
      </vt:variant>
      <vt:variant>
        <vt:i4>1769522</vt:i4>
      </vt:variant>
      <vt:variant>
        <vt:i4>836</vt:i4>
      </vt:variant>
      <vt:variant>
        <vt:i4>0</vt:i4>
      </vt:variant>
      <vt:variant>
        <vt:i4>5</vt:i4>
      </vt:variant>
      <vt:variant>
        <vt:lpwstr/>
      </vt:variant>
      <vt:variant>
        <vt:lpwstr>_Toc152862730</vt:lpwstr>
      </vt:variant>
      <vt:variant>
        <vt:i4>1703986</vt:i4>
      </vt:variant>
      <vt:variant>
        <vt:i4>830</vt:i4>
      </vt:variant>
      <vt:variant>
        <vt:i4>0</vt:i4>
      </vt:variant>
      <vt:variant>
        <vt:i4>5</vt:i4>
      </vt:variant>
      <vt:variant>
        <vt:lpwstr/>
      </vt:variant>
      <vt:variant>
        <vt:lpwstr>_Toc152862729</vt:lpwstr>
      </vt:variant>
      <vt:variant>
        <vt:i4>1703986</vt:i4>
      </vt:variant>
      <vt:variant>
        <vt:i4>824</vt:i4>
      </vt:variant>
      <vt:variant>
        <vt:i4>0</vt:i4>
      </vt:variant>
      <vt:variant>
        <vt:i4>5</vt:i4>
      </vt:variant>
      <vt:variant>
        <vt:lpwstr/>
      </vt:variant>
      <vt:variant>
        <vt:lpwstr>_Toc152862728</vt:lpwstr>
      </vt:variant>
      <vt:variant>
        <vt:i4>1703986</vt:i4>
      </vt:variant>
      <vt:variant>
        <vt:i4>818</vt:i4>
      </vt:variant>
      <vt:variant>
        <vt:i4>0</vt:i4>
      </vt:variant>
      <vt:variant>
        <vt:i4>5</vt:i4>
      </vt:variant>
      <vt:variant>
        <vt:lpwstr/>
      </vt:variant>
      <vt:variant>
        <vt:lpwstr>_Toc152862727</vt:lpwstr>
      </vt:variant>
      <vt:variant>
        <vt:i4>1703986</vt:i4>
      </vt:variant>
      <vt:variant>
        <vt:i4>812</vt:i4>
      </vt:variant>
      <vt:variant>
        <vt:i4>0</vt:i4>
      </vt:variant>
      <vt:variant>
        <vt:i4>5</vt:i4>
      </vt:variant>
      <vt:variant>
        <vt:lpwstr/>
      </vt:variant>
      <vt:variant>
        <vt:lpwstr>_Toc152862726</vt:lpwstr>
      </vt:variant>
      <vt:variant>
        <vt:i4>1703986</vt:i4>
      </vt:variant>
      <vt:variant>
        <vt:i4>806</vt:i4>
      </vt:variant>
      <vt:variant>
        <vt:i4>0</vt:i4>
      </vt:variant>
      <vt:variant>
        <vt:i4>5</vt:i4>
      </vt:variant>
      <vt:variant>
        <vt:lpwstr/>
      </vt:variant>
      <vt:variant>
        <vt:lpwstr>_Toc152862725</vt:lpwstr>
      </vt:variant>
      <vt:variant>
        <vt:i4>1703986</vt:i4>
      </vt:variant>
      <vt:variant>
        <vt:i4>800</vt:i4>
      </vt:variant>
      <vt:variant>
        <vt:i4>0</vt:i4>
      </vt:variant>
      <vt:variant>
        <vt:i4>5</vt:i4>
      </vt:variant>
      <vt:variant>
        <vt:lpwstr/>
      </vt:variant>
      <vt:variant>
        <vt:lpwstr>_Toc152862724</vt:lpwstr>
      </vt:variant>
      <vt:variant>
        <vt:i4>1703986</vt:i4>
      </vt:variant>
      <vt:variant>
        <vt:i4>794</vt:i4>
      </vt:variant>
      <vt:variant>
        <vt:i4>0</vt:i4>
      </vt:variant>
      <vt:variant>
        <vt:i4>5</vt:i4>
      </vt:variant>
      <vt:variant>
        <vt:lpwstr/>
      </vt:variant>
      <vt:variant>
        <vt:lpwstr>_Toc152862723</vt:lpwstr>
      </vt:variant>
      <vt:variant>
        <vt:i4>1703986</vt:i4>
      </vt:variant>
      <vt:variant>
        <vt:i4>788</vt:i4>
      </vt:variant>
      <vt:variant>
        <vt:i4>0</vt:i4>
      </vt:variant>
      <vt:variant>
        <vt:i4>5</vt:i4>
      </vt:variant>
      <vt:variant>
        <vt:lpwstr/>
      </vt:variant>
      <vt:variant>
        <vt:lpwstr>_Toc152862722</vt:lpwstr>
      </vt:variant>
      <vt:variant>
        <vt:i4>1703986</vt:i4>
      </vt:variant>
      <vt:variant>
        <vt:i4>782</vt:i4>
      </vt:variant>
      <vt:variant>
        <vt:i4>0</vt:i4>
      </vt:variant>
      <vt:variant>
        <vt:i4>5</vt:i4>
      </vt:variant>
      <vt:variant>
        <vt:lpwstr/>
      </vt:variant>
      <vt:variant>
        <vt:lpwstr>_Toc152862721</vt:lpwstr>
      </vt:variant>
      <vt:variant>
        <vt:i4>1703986</vt:i4>
      </vt:variant>
      <vt:variant>
        <vt:i4>776</vt:i4>
      </vt:variant>
      <vt:variant>
        <vt:i4>0</vt:i4>
      </vt:variant>
      <vt:variant>
        <vt:i4>5</vt:i4>
      </vt:variant>
      <vt:variant>
        <vt:lpwstr/>
      </vt:variant>
      <vt:variant>
        <vt:lpwstr>_Toc152862720</vt:lpwstr>
      </vt:variant>
      <vt:variant>
        <vt:i4>1638450</vt:i4>
      </vt:variant>
      <vt:variant>
        <vt:i4>770</vt:i4>
      </vt:variant>
      <vt:variant>
        <vt:i4>0</vt:i4>
      </vt:variant>
      <vt:variant>
        <vt:i4>5</vt:i4>
      </vt:variant>
      <vt:variant>
        <vt:lpwstr/>
      </vt:variant>
      <vt:variant>
        <vt:lpwstr>_Toc152862719</vt:lpwstr>
      </vt:variant>
      <vt:variant>
        <vt:i4>1638450</vt:i4>
      </vt:variant>
      <vt:variant>
        <vt:i4>764</vt:i4>
      </vt:variant>
      <vt:variant>
        <vt:i4>0</vt:i4>
      </vt:variant>
      <vt:variant>
        <vt:i4>5</vt:i4>
      </vt:variant>
      <vt:variant>
        <vt:lpwstr/>
      </vt:variant>
      <vt:variant>
        <vt:lpwstr>_Toc152862718</vt:lpwstr>
      </vt:variant>
      <vt:variant>
        <vt:i4>1638450</vt:i4>
      </vt:variant>
      <vt:variant>
        <vt:i4>758</vt:i4>
      </vt:variant>
      <vt:variant>
        <vt:i4>0</vt:i4>
      </vt:variant>
      <vt:variant>
        <vt:i4>5</vt:i4>
      </vt:variant>
      <vt:variant>
        <vt:lpwstr/>
      </vt:variant>
      <vt:variant>
        <vt:lpwstr>_Toc152862717</vt:lpwstr>
      </vt:variant>
      <vt:variant>
        <vt:i4>1638450</vt:i4>
      </vt:variant>
      <vt:variant>
        <vt:i4>752</vt:i4>
      </vt:variant>
      <vt:variant>
        <vt:i4>0</vt:i4>
      </vt:variant>
      <vt:variant>
        <vt:i4>5</vt:i4>
      </vt:variant>
      <vt:variant>
        <vt:lpwstr/>
      </vt:variant>
      <vt:variant>
        <vt:lpwstr>_Toc152862716</vt:lpwstr>
      </vt:variant>
      <vt:variant>
        <vt:i4>1638450</vt:i4>
      </vt:variant>
      <vt:variant>
        <vt:i4>746</vt:i4>
      </vt:variant>
      <vt:variant>
        <vt:i4>0</vt:i4>
      </vt:variant>
      <vt:variant>
        <vt:i4>5</vt:i4>
      </vt:variant>
      <vt:variant>
        <vt:lpwstr/>
      </vt:variant>
      <vt:variant>
        <vt:lpwstr>_Toc152862715</vt:lpwstr>
      </vt:variant>
      <vt:variant>
        <vt:i4>1638450</vt:i4>
      </vt:variant>
      <vt:variant>
        <vt:i4>740</vt:i4>
      </vt:variant>
      <vt:variant>
        <vt:i4>0</vt:i4>
      </vt:variant>
      <vt:variant>
        <vt:i4>5</vt:i4>
      </vt:variant>
      <vt:variant>
        <vt:lpwstr/>
      </vt:variant>
      <vt:variant>
        <vt:lpwstr>_Toc152862714</vt:lpwstr>
      </vt:variant>
      <vt:variant>
        <vt:i4>1638450</vt:i4>
      </vt:variant>
      <vt:variant>
        <vt:i4>734</vt:i4>
      </vt:variant>
      <vt:variant>
        <vt:i4>0</vt:i4>
      </vt:variant>
      <vt:variant>
        <vt:i4>5</vt:i4>
      </vt:variant>
      <vt:variant>
        <vt:lpwstr/>
      </vt:variant>
      <vt:variant>
        <vt:lpwstr>_Toc152862713</vt:lpwstr>
      </vt:variant>
      <vt:variant>
        <vt:i4>1638450</vt:i4>
      </vt:variant>
      <vt:variant>
        <vt:i4>728</vt:i4>
      </vt:variant>
      <vt:variant>
        <vt:i4>0</vt:i4>
      </vt:variant>
      <vt:variant>
        <vt:i4>5</vt:i4>
      </vt:variant>
      <vt:variant>
        <vt:lpwstr/>
      </vt:variant>
      <vt:variant>
        <vt:lpwstr>_Toc152862712</vt:lpwstr>
      </vt:variant>
      <vt:variant>
        <vt:i4>1638450</vt:i4>
      </vt:variant>
      <vt:variant>
        <vt:i4>722</vt:i4>
      </vt:variant>
      <vt:variant>
        <vt:i4>0</vt:i4>
      </vt:variant>
      <vt:variant>
        <vt:i4>5</vt:i4>
      </vt:variant>
      <vt:variant>
        <vt:lpwstr/>
      </vt:variant>
      <vt:variant>
        <vt:lpwstr>_Toc152862711</vt:lpwstr>
      </vt:variant>
      <vt:variant>
        <vt:i4>1638450</vt:i4>
      </vt:variant>
      <vt:variant>
        <vt:i4>716</vt:i4>
      </vt:variant>
      <vt:variant>
        <vt:i4>0</vt:i4>
      </vt:variant>
      <vt:variant>
        <vt:i4>5</vt:i4>
      </vt:variant>
      <vt:variant>
        <vt:lpwstr/>
      </vt:variant>
      <vt:variant>
        <vt:lpwstr>_Toc152862710</vt:lpwstr>
      </vt:variant>
      <vt:variant>
        <vt:i4>1572914</vt:i4>
      </vt:variant>
      <vt:variant>
        <vt:i4>710</vt:i4>
      </vt:variant>
      <vt:variant>
        <vt:i4>0</vt:i4>
      </vt:variant>
      <vt:variant>
        <vt:i4>5</vt:i4>
      </vt:variant>
      <vt:variant>
        <vt:lpwstr/>
      </vt:variant>
      <vt:variant>
        <vt:lpwstr>_Toc152862709</vt:lpwstr>
      </vt:variant>
      <vt:variant>
        <vt:i4>1572914</vt:i4>
      </vt:variant>
      <vt:variant>
        <vt:i4>704</vt:i4>
      </vt:variant>
      <vt:variant>
        <vt:i4>0</vt:i4>
      </vt:variant>
      <vt:variant>
        <vt:i4>5</vt:i4>
      </vt:variant>
      <vt:variant>
        <vt:lpwstr/>
      </vt:variant>
      <vt:variant>
        <vt:lpwstr>_Toc152862708</vt:lpwstr>
      </vt:variant>
      <vt:variant>
        <vt:i4>1572914</vt:i4>
      </vt:variant>
      <vt:variant>
        <vt:i4>698</vt:i4>
      </vt:variant>
      <vt:variant>
        <vt:i4>0</vt:i4>
      </vt:variant>
      <vt:variant>
        <vt:i4>5</vt:i4>
      </vt:variant>
      <vt:variant>
        <vt:lpwstr/>
      </vt:variant>
      <vt:variant>
        <vt:lpwstr>_Toc152862707</vt:lpwstr>
      </vt:variant>
      <vt:variant>
        <vt:i4>1572914</vt:i4>
      </vt:variant>
      <vt:variant>
        <vt:i4>692</vt:i4>
      </vt:variant>
      <vt:variant>
        <vt:i4>0</vt:i4>
      </vt:variant>
      <vt:variant>
        <vt:i4>5</vt:i4>
      </vt:variant>
      <vt:variant>
        <vt:lpwstr/>
      </vt:variant>
      <vt:variant>
        <vt:lpwstr>_Toc152862706</vt:lpwstr>
      </vt:variant>
      <vt:variant>
        <vt:i4>1572914</vt:i4>
      </vt:variant>
      <vt:variant>
        <vt:i4>686</vt:i4>
      </vt:variant>
      <vt:variant>
        <vt:i4>0</vt:i4>
      </vt:variant>
      <vt:variant>
        <vt:i4>5</vt:i4>
      </vt:variant>
      <vt:variant>
        <vt:lpwstr/>
      </vt:variant>
      <vt:variant>
        <vt:lpwstr>_Toc152862705</vt:lpwstr>
      </vt:variant>
      <vt:variant>
        <vt:i4>1572914</vt:i4>
      </vt:variant>
      <vt:variant>
        <vt:i4>680</vt:i4>
      </vt:variant>
      <vt:variant>
        <vt:i4>0</vt:i4>
      </vt:variant>
      <vt:variant>
        <vt:i4>5</vt:i4>
      </vt:variant>
      <vt:variant>
        <vt:lpwstr/>
      </vt:variant>
      <vt:variant>
        <vt:lpwstr>_Toc152862704</vt:lpwstr>
      </vt:variant>
      <vt:variant>
        <vt:i4>1572914</vt:i4>
      </vt:variant>
      <vt:variant>
        <vt:i4>674</vt:i4>
      </vt:variant>
      <vt:variant>
        <vt:i4>0</vt:i4>
      </vt:variant>
      <vt:variant>
        <vt:i4>5</vt:i4>
      </vt:variant>
      <vt:variant>
        <vt:lpwstr/>
      </vt:variant>
      <vt:variant>
        <vt:lpwstr>_Toc152862703</vt:lpwstr>
      </vt:variant>
      <vt:variant>
        <vt:i4>1572914</vt:i4>
      </vt:variant>
      <vt:variant>
        <vt:i4>668</vt:i4>
      </vt:variant>
      <vt:variant>
        <vt:i4>0</vt:i4>
      </vt:variant>
      <vt:variant>
        <vt:i4>5</vt:i4>
      </vt:variant>
      <vt:variant>
        <vt:lpwstr/>
      </vt:variant>
      <vt:variant>
        <vt:lpwstr>_Toc152862702</vt:lpwstr>
      </vt:variant>
      <vt:variant>
        <vt:i4>1572914</vt:i4>
      </vt:variant>
      <vt:variant>
        <vt:i4>662</vt:i4>
      </vt:variant>
      <vt:variant>
        <vt:i4>0</vt:i4>
      </vt:variant>
      <vt:variant>
        <vt:i4>5</vt:i4>
      </vt:variant>
      <vt:variant>
        <vt:lpwstr/>
      </vt:variant>
      <vt:variant>
        <vt:lpwstr>_Toc152862701</vt:lpwstr>
      </vt:variant>
      <vt:variant>
        <vt:i4>1572914</vt:i4>
      </vt:variant>
      <vt:variant>
        <vt:i4>656</vt:i4>
      </vt:variant>
      <vt:variant>
        <vt:i4>0</vt:i4>
      </vt:variant>
      <vt:variant>
        <vt:i4>5</vt:i4>
      </vt:variant>
      <vt:variant>
        <vt:lpwstr/>
      </vt:variant>
      <vt:variant>
        <vt:lpwstr>_Toc152862700</vt:lpwstr>
      </vt:variant>
      <vt:variant>
        <vt:i4>1114163</vt:i4>
      </vt:variant>
      <vt:variant>
        <vt:i4>650</vt:i4>
      </vt:variant>
      <vt:variant>
        <vt:i4>0</vt:i4>
      </vt:variant>
      <vt:variant>
        <vt:i4>5</vt:i4>
      </vt:variant>
      <vt:variant>
        <vt:lpwstr/>
      </vt:variant>
      <vt:variant>
        <vt:lpwstr>_Toc152862699</vt:lpwstr>
      </vt:variant>
      <vt:variant>
        <vt:i4>1114163</vt:i4>
      </vt:variant>
      <vt:variant>
        <vt:i4>644</vt:i4>
      </vt:variant>
      <vt:variant>
        <vt:i4>0</vt:i4>
      </vt:variant>
      <vt:variant>
        <vt:i4>5</vt:i4>
      </vt:variant>
      <vt:variant>
        <vt:lpwstr/>
      </vt:variant>
      <vt:variant>
        <vt:lpwstr>_Toc152862698</vt:lpwstr>
      </vt:variant>
      <vt:variant>
        <vt:i4>1114163</vt:i4>
      </vt:variant>
      <vt:variant>
        <vt:i4>638</vt:i4>
      </vt:variant>
      <vt:variant>
        <vt:i4>0</vt:i4>
      </vt:variant>
      <vt:variant>
        <vt:i4>5</vt:i4>
      </vt:variant>
      <vt:variant>
        <vt:lpwstr/>
      </vt:variant>
      <vt:variant>
        <vt:lpwstr>_Toc152862697</vt:lpwstr>
      </vt:variant>
      <vt:variant>
        <vt:i4>1114163</vt:i4>
      </vt:variant>
      <vt:variant>
        <vt:i4>632</vt:i4>
      </vt:variant>
      <vt:variant>
        <vt:i4>0</vt:i4>
      </vt:variant>
      <vt:variant>
        <vt:i4>5</vt:i4>
      </vt:variant>
      <vt:variant>
        <vt:lpwstr/>
      </vt:variant>
      <vt:variant>
        <vt:lpwstr>_Toc152862696</vt:lpwstr>
      </vt:variant>
      <vt:variant>
        <vt:i4>1114163</vt:i4>
      </vt:variant>
      <vt:variant>
        <vt:i4>626</vt:i4>
      </vt:variant>
      <vt:variant>
        <vt:i4>0</vt:i4>
      </vt:variant>
      <vt:variant>
        <vt:i4>5</vt:i4>
      </vt:variant>
      <vt:variant>
        <vt:lpwstr/>
      </vt:variant>
      <vt:variant>
        <vt:lpwstr>_Toc152862695</vt:lpwstr>
      </vt:variant>
      <vt:variant>
        <vt:i4>1114163</vt:i4>
      </vt:variant>
      <vt:variant>
        <vt:i4>620</vt:i4>
      </vt:variant>
      <vt:variant>
        <vt:i4>0</vt:i4>
      </vt:variant>
      <vt:variant>
        <vt:i4>5</vt:i4>
      </vt:variant>
      <vt:variant>
        <vt:lpwstr/>
      </vt:variant>
      <vt:variant>
        <vt:lpwstr>_Toc152862694</vt:lpwstr>
      </vt:variant>
      <vt:variant>
        <vt:i4>1114163</vt:i4>
      </vt:variant>
      <vt:variant>
        <vt:i4>614</vt:i4>
      </vt:variant>
      <vt:variant>
        <vt:i4>0</vt:i4>
      </vt:variant>
      <vt:variant>
        <vt:i4>5</vt:i4>
      </vt:variant>
      <vt:variant>
        <vt:lpwstr/>
      </vt:variant>
      <vt:variant>
        <vt:lpwstr>_Toc152862693</vt:lpwstr>
      </vt:variant>
      <vt:variant>
        <vt:i4>1114163</vt:i4>
      </vt:variant>
      <vt:variant>
        <vt:i4>608</vt:i4>
      </vt:variant>
      <vt:variant>
        <vt:i4>0</vt:i4>
      </vt:variant>
      <vt:variant>
        <vt:i4>5</vt:i4>
      </vt:variant>
      <vt:variant>
        <vt:lpwstr/>
      </vt:variant>
      <vt:variant>
        <vt:lpwstr>_Toc152862692</vt:lpwstr>
      </vt:variant>
      <vt:variant>
        <vt:i4>1114163</vt:i4>
      </vt:variant>
      <vt:variant>
        <vt:i4>602</vt:i4>
      </vt:variant>
      <vt:variant>
        <vt:i4>0</vt:i4>
      </vt:variant>
      <vt:variant>
        <vt:i4>5</vt:i4>
      </vt:variant>
      <vt:variant>
        <vt:lpwstr/>
      </vt:variant>
      <vt:variant>
        <vt:lpwstr>_Toc152862691</vt:lpwstr>
      </vt:variant>
      <vt:variant>
        <vt:i4>1114163</vt:i4>
      </vt:variant>
      <vt:variant>
        <vt:i4>596</vt:i4>
      </vt:variant>
      <vt:variant>
        <vt:i4>0</vt:i4>
      </vt:variant>
      <vt:variant>
        <vt:i4>5</vt:i4>
      </vt:variant>
      <vt:variant>
        <vt:lpwstr/>
      </vt:variant>
      <vt:variant>
        <vt:lpwstr>_Toc152862690</vt:lpwstr>
      </vt:variant>
      <vt:variant>
        <vt:i4>1048627</vt:i4>
      </vt:variant>
      <vt:variant>
        <vt:i4>590</vt:i4>
      </vt:variant>
      <vt:variant>
        <vt:i4>0</vt:i4>
      </vt:variant>
      <vt:variant>
        <vt:i4>5</vt:i4>
      </vt:variant>
      <vt:variant>
        <vt:lpwstr/>
      </vt:variant>
      <vt:variant>
        <vt:lpwstr>_Toc152862689</vt:lpwstr>
      </vt:variant>
      <vt:variant>
        <vt:i4>1048627</vt:i4>
      </vt:variant>
      <vt:variant>
        <vt:i4>584</vt:i4>
      </vt:variant>
      <vt:variant>
        <vt:i4>0</vt:i4>
      </vt:variant>
      <vt:variant>
        <vt:i4>5</vt:i4>
      </vt:variant>
      <vt:variant>
        <vt:lpwstr/>
      </vt:variant>
      <vt:variant>
        <vt:lpwstr>_Toc152862688</vt:lpwstr>
      </vt:variant>
      <vt:variant>
        <vt:i4>1048627</vt:i4>
      </vt:variant>
      <vt:variant>
        <vt:i4>578</vt:i4>
      </vt:variant>
      <vt:variant>
        <vt:i4>0</vt:i4>
      </vt:variant>
      <vt:variant>
        <vt:i4>5</vt:i4>
      </vt:variant>
      <vt:variant>
        <vt:lpwstr/>
      </vt:variant>
      <vt:variant>
        <vt:lpwstr>_Toc152862687</vt:lpwstr>
      </vt:variant>
      <vt:variant>
        <vt:i4>1048627</vt:i4>
      </vt:variant>
      <vt:variant>
        <vt:i4>572</vt:i4>
      </vt:variant>
      <vt:variant>
        <vt:i4>0</vt:i4>
      </vt:variant>
      <vt:variant>
        <vt:i4>5</vt:i4>
      </vt:variant>
      <vt:variant>
        <vt:lpwstr/>
      </vt:variant>
      <vt:variant>
        <vt:lpwstr>_Toc152862686</vt:lpwstr>
      </vt:variant>
      <vt:variant>
        <vt:i4>1048627</vt:i4>
      </vt:variant>
      <vt:variant>
        <vt:i4>566</vt:i4>
      </vt:variant>
      <vt:variant>
        <vt:i4>0</vt:i4>
      </vt:variant>
      <vt:variant>
        <vt:i4>5</vt:i4>
      </vt:variant>
      <vt:variant>
        <vt:lpwstr/>
      </vt:variant>
      <vt:variant>
        <vt:lpwstr>_Toc152862685</vt:lpwstr>
      </vt:variant>
      <vt:variant>
        <vt:i4>1048627</vt:i4>
      </vt:variant>
      <vt:variant>
        <vt:i4>560</vt:i4>
      </vt:variant>
      <vt:variant>
        <vt:i4>0</vt:i4>
      </vt:variant>
      <vt:variant>
        <vt:i4>5</vt:i4>
      </vt:variant>
      <vt:variant>
        <vt:lpwstr/>
      </vt:variant>
      <vt:variant>
        <vt:lpwstr>_Toc152862684</vt:lpwstr>
      </vt:variant>
      <vt:variant>
        <vt:i4>1048627</vt:i4>
      </vt:variant>
      <vt:variant>
        <vt:i4>554</vt:i4>
      </vt:variant>
      <vt:variant>
        <vt:i4>0</vt:i4>
      </vt:variant>
      <vt:variant>
        <vt:i4>5</vt:i4>
      </vt:variant>
      <vt:variant>
        <vt:lpwstr/>
      </vt:variant>
      <vt:variant>
        <vt:lpwstr>_Toc152862683</vt:lpwstr>
      </vt:variant>
      <vt:variant>
        <vt:i4>1048627</vt:i4>
      </vt:variant>
      <vt:variant>
        <vt:i4>548</vt:i4>
      </vt:variant>
      <vt:variant>
        <vt:i4>0</vt:i4>
      </vt:variant>
      <vt:variant>
        <vt:i4>5</vt:i4>
      </vt:variant>
      <vt:variant>
        <vt:lpwstr/>
      </vt:variant>
      <vt:variant>
        <vt:lpwstr>_Toc152862682</vt:lpwstr>
      </vt:variant>
      <vt:variant>
        <vt:i4>1048627</vt:i4>
      </vt:variant>
      <vt:variant>
        <vt:i4>542</vt:i4>
      </vt:variant>
      <vt:variant>
        <vt:i4>0</vt:i4>
      </vt:variant>
      <vt:variant>
        <vt:i4>5</vt:i4>
      </vt:variant>
      <vt:variant>
        <vt:lpwstr/>
      </vt:variant>
      <vt:variant>
        <vt:lpwstr>_Toc152862681</vt:lpwstr>
      </vt:variant>
      <vt:variant>
        <vt:i4>1048627</vt:i4>
      </vt:variant>
      <vt:variant>
        <vt:i4>536</vt:i4>
      </vt:variant>
      <vt:variant>
        <vt:i4>0</vt:i4>
      </vt:variant>
      <vt:variant>
        <vt:i4>5</vt:i4>
      </vt:variant>
      <vt:variant>
        <vt:lpwstr/>
      </vt:variant>
      <vt:variant>
        <vt:lpwstr>_Toc152862680</vt:lpwstr>
      </vt:variant>
      <vt:variant>
        <vt:i4>2031667</vt:i4>
      </vt:variant>
      <vt:variant>
        <vt:i4>530</vt:i4>
      </vt:variant>
      <vt:variant>
        <vt:i4>0</vt:i4>
      </vt:variant>
      <vt:variant>
        <vt:i4>5</vt:i4>
      </vt:variant>
      <vt:variant>
        <vt:lpwstr/>
      </vt:variant>
      <vt:variant>
        <vt:lpwstr>_Toc152862679</vt:lpwstr>
      </vt:variant>
      <vt:variant>
        <vt:i4>2031667</vt:i4>
      </vt:variant>
      <vt:variant>
        <vt:i4>524</vt:i4>
      </vt:variant>
      <vt:variant>
        <vt:i4>0</vt:i4>
      </vt:variant>
      <vt:variant>
        <vt:i4>5</vt:i4>
      </vt:variant>
      <vt:variant>
        <vt:lpwstr/>
      </vt:variant>
      <vt:variant>
        <vt:lpwstr>_Toc152862678</vt:lpwstr>
      </vt:variant>
      <vt:variant>
        <vt:i4>2031667</vt:i4>
      </vt:variant>
      <vt:variant>
        <vt:i4>518</vt:i4>
      </vt:variant>
      <vt:variant>
        <vt:i4>0</vt:i4>
      </vt:variant>
      <vt:variant>
        <vt:i4>5</vt:i4>
      </vt:variant>
      <vt:variant>
        <vt:lpwstr/>
      </vt:variant>
      <vt:variant>
        <vt:lpwstr>_Toc152862677</vt:lpwstr>
      </vt:variant>
      <vt:variant>
        <vt:i4>2031667</vt:i4>
      </vt:variant>
      <vt:variant>
        <vt:i4>512</vt:i4>
      </vt:variant>
      <vt:variant>
        <vt:i4>0</vt:i4>
      </vt:variant>
      <vt:variant>
        <vt:i4>5</vt:i4>
      </vt:variant>
      <vt:variant>
        <vt:lpwstr/>
      </vt:variant>
      <vt:variant>
        <vt:lpwstr>_Toc152862676</vt:lpwstr>
      </vt:variant>
      <vt:variant>
        <vt:i4>2031667</vt:i4>
      </vt:variant>
      <vt:variant>
        <vt:i4>506</vt:i4>
      </vt:variant>
      <vt:variant>
        <vt:i4>0</vt:i4>
      </vt:variant>
      <vt:variant>
        <vt:i4>5</vt:i4>
      </vt:variant>
      <vt:variant>
        <vt:lpwstr/>
      </vt:variant>
      <vt:variant>
        <vt:lpwstr>_Toc152862675</vt:lpwstr>
      </vt:variant>
      <vt:variant>
        <vt:i4>2031667</vt:i4>
      </vt:variant>
      <vt:variant>
        <vt:i4>500</vt:i4>
      </vt:variant>
      <vt:variant>
        <vt:i4>0</vt:i4>
      </vt:variant>
      <vt:variant>
        <vt:i4>5</vt:i4>
      </vt:variant>
      <vt:variant>
        <vt:lpwstr/>
      </vt:variant>
      <vt:variant>
        <vt:lpwstr>_Toc152862674</vt:lpwstr>
      </vt:variant>
      <vt:variant>
        <vt:i4>2031667</vt:i4>
      </vt:variant>
      <vt:variant>
        <vt:i4>494</vt:i4>
      </vt:variant>
      <vt:variant>
        <vt:i4>0</vt:i4>
      </vt:variant>
      <vt:variant>
        <vt:i4>5</vt:i4>
      </vt:variant>
      <vt:variant>
        <vt:lpwstr/>
      </vt:variant>
      <vt:variant>
        <vt:lpwstr>_Toc152862673</vt:lpwstr>
      </vt:variant>
      <vt:variant>
        <vt:i4>2031667</vt:i4>
      </vt:variant>
      <vt:variant>
        <vt:i4>488</vt:i4>
      </vt:variant>
      <vt:variant>
        <vt:i4>0</vt:i4>
      </vt:variant>
      <vt:variant>
        <vt:i4>5</vt:i4>
      </vt:variant>
      <vt:variant>
        <vt:lpwstr/>
      </vt:variant>
      <vt:variant>
        <vt:lpwstr>_Toc152862672</vt:lpwstr>
      </vt:variant>
      <vt:variant>
        <vt:i4>2031667</vt:i4>
      </vt:variant>
      <vt:variant>
        <vt:i4>482</vt:i4>
      </vt:variant>
      <vt:variant>
        <vt:i4>0</vt:i4>
      </vt:variant>
      <vt:variant>
        <vt:i4>5</vt:i4>
      </vt:variant>
      <vt:variant>
        <vt:lpwstr/>
      </vt:variant>
      <vt:variant>
        <vt:lpwstr>_Toc152862671</vt:lpwstr>
      </vt:variant>
      <vt:variant>
        <vt:i4>2031667</vt:i4>
      </vt:variant>
      <vt:variant>
        <vt:i4>476</vt:i4>
      </vt:variant>
      <vt:variant>
        <vt:i4>0</vt:i4>
      </vt:variant>
      <vt:variant>
        <vt:i4>5</vt:i4>
      </vt:variant>
      <vt:variant>
        <vt:lpwstr/>
      </vt:variant>
      <vt:variant>
        <vt:lpwstr>_Toc152862670</vt:lpwstr>
      </vt:variant>
      <vt:variant>
        <vt:i4>1966131</vt:i4>
      </vt:variant>
      <vt:variant>
        <vt:i4>470</vt:i4>
      </vt:variant>
      <vt:variant>
        <vt:i4>0</vt:i4>
      </vt:variant>
      <vt:variant>
        <vt:i4>5</vt:i4>
      </vt:variant>
      <vt:variant>
        <vt:lpwstr/>
      </vt:variant>
      <vt:variant>
        <vt:lpwstr>_Toc152862669</vt:lpwstr>
      </vt:variant>
      <vt:variant>
        <vt:i4>1966131</vt:i4>
      </vt:variant>
      <vt:variant>
        <vt:i4>464</vt:i4>
      </vt:variant>
      <vt:variant>
        <vt:i4>0</vt:i4>
      </vt:variant>
      <vt:variant>
        <vt:i4>5</vt:i4>
      </vt:variant>
      <vt:variant>
        <vt:lpwstr/>
      </vt:variant>
      <vt:variant>
        <vt:lpwstr>_Toc152862668</vt:lpwstr>
      </vt:variant>
      <vt:variant>
        <vt:i4>1966131</vt:i4>
      </vt:variant>
      <vt:variant>
        <vt:i4>458</vt:i4>
      </vt:variant>
      <vt:variant>
        <vt:i4>0</vt:i4>
      </vt:variant>
      <vt:variant>
        <vt:i4>5</vt:i4>
      </vt:variant>
      <vt:variant>
        <vt:lpwstr/>
      </vt:variant>
      <vt:variant>
        <vt:lpwstr>_Toc152862667</vt:lpwstr>
      </vt:variant>
      <vt:variant>
        <vt:i4>1966131</vt:i4>
      </vt:variant>
      <vt:variant>
        <vt:i4>452</vt:i4>
      </vt:variant>
      <vt:variant>
        <vt:i4>0</vt:i4>
      </vt:variant>
      <vt:variant>
        <vt:i4>5</vt:i4>
      </vt:variant>
      <vt:variant>
        <vt:lpwstr/>
      </vt:variant>
      <vt:variant>
        <vt:lpwstr>_Toc152862666</vt:lpwstr>
      </vt:variant>
      <vt:variant>
        <vt:i4>1966131</vt:i4>
      </vt:variant>
      <vt:variant>
        <vt:i4>446</vt:i4>
      </vt:variant>
      <vt:variant>
        <vt:i4>0</vt:i4>
      </vt:variant>
      <vt:variant>
        <vt:i4>5</vt:i4>
      </vt:variant>
      <vt:variant>
        <vt:lpwstr/>
      </vt:variant>
      <vt:variant>
        <vt:lpwstr>_Toc152862665</vt:lpwstr>
      </vt:variant>
      <vt:variant>
        <vt:i4>1966131</vt:i4>
      </vt:variant>
      <vt:variant>
        <vt:i4>440</vt:i4>
      </vt:variant>
      <vt:variant>
        <vt:i4>0</vt:i4>
      </vt:variant>
      <vt:variant>
        <vt:i4>5</vt:i4>
      </vt:variant>
      <vt:variant>
        <vt:lpwstr/>
      </vt:variant>
      <vt:variant>
        <vt:lpwstr>_Toc152862664</vt:lpwstr>
      </vt:variant>
      <vt:variant>
        <vt:i4>1966131</vt:i4>
      </vt:variant>
      <vt:variant>
        <vt:i4>434</vt:i4>
      </vt:variant>
      <vt:variant>
        <vt:i4>0</vt:i4>
      </vt:variant>
      <vt:variant>
        <vt:i4>5</vt:i4>
      </vt:variant>
      <vt:variant>
        <vt:lpwstr/>
      </vt:variant>
      <vt:variant>
        <vt:lpwstr>_Toc152862663</vt:lpwstr>
      </vt:variant>
      <vt:variant>
        <vt:i4>1966131</vt:i4>
      </vt:variant>
      <vt:variant>
        <vt:i4>428</vt:i4>
      </vt:variant>
      <vt:variant>
        <vt:i4>0</vt:i4>
      </vt:variant>
      <vt:variant>
        <vt:i4>5</vt:i4>
      </vt:variant>
      <vt:variant>
        <vt:lpwstr/>
      </vt:variant>
      <vt:variant>
        <vt:lpwstr>_Toc152862662</vt:lpwstr>
      </vt:variant>
      <vt:variant>
        <vt:i4>1966131</vt:i4>
      </vt:variant>
      <vt:variant>
        <vt:i4>422</vt:i4>
      </vt:variant>
      <vt:variant>
        <vt:i4>0</vt:i4>
      </vt:variant>
      <vt:variant>
        <vt:i4>5</vt:i4>
      </vt:variant>
      <vt:variant>
        <vt:lpwstr/>
      </vt:variant>
      <vt:variant>
        <vt:lpwstr>_Toc152862661</vt:lpwstr>
      </vt:variant>
      <vt:variant>
        <vt:i4>1966131</vt:i4>
      </vt:variant>
      <vt:variant>
        <vt:i4>416</vt:i4>
      </vt:variant>
      <vt:variant>
        <vt:i4>0</vt:i4>
      </vt:variant>
      <vt:variant>
        <vt:i4>5</vt:i4>
      </vt:variant>
      <vt:variant>
        <vt:lpwstr/>
      </vt:variant>
      <vt:variant>
        <vt:lpwstr>_Toc152862660</vt:lpwstr>
      </vt:variant>
      <vt:variant>
        <vt:i4>1900595</vt:i4>
      </vt:variant>
      <vt:variant>
        <vt:i4>410</vt:i4>
      </vt:variant>
      <vt:variant>
        <vt:i4>0</vt:i4>
      </vt:variant>
      <vt:variant>
        <vt:i4>5</vt:i4>
      </vt:variant>
      <vt:variant>
        <vt:lpwstr/>
      </vt:variant>
      <vt:variant>
        <vt:lpwstr>_Toc152862659</vt:lpwstr>
      </vt:variant>
      <vt:variant>
        <vt:i4>1900595</vt:i4>
      </vt:variant>
      <vt:variant>
        <vt:i4>404</vt:i4>
      </vt:variant>
      <vt:variant>
        <vt:i4>0</vt:i4>
      </vt:variant>
      <vt:variant>
        <vt:i4>5</vt:i4>
      </vt:variant>
      <vt:variant>
        <vt:lpwstr/>
      </vt:variant>
      <vt:variant>
        <vt:lpwstr>_Toc152862658</vt:lpwstr>
      </vt:variant>
      <vt:variant>
        <vt:i4>1900595</vt:i4>
      </vt:variant>
      <vt:variant>
        <vt:i4>398</vt:i4>
      </vt:variant>
      <vt:variant>
        <vt:i4>0</vt:i4>
      </vt:variant>
      <vt:variant>
        <vt:i4>5</vt:i4>
      </vt:variant>
      <vt:variant>
        <vt:lpwstr/>
      </vt:variant>
      <vt:variant>
        <vt:lpwstr>_Toc152862657</vt:lpwstr>
      </vt:variant>
      <vt:variant>
        <vt:i4>1900595</vt:i4>
      </vt:variant>
      <vt:variant>
        <vt:i4>392</vt:i4>
      </vt:variant>
      <vt:variant>
        <vt:i4>0</vt:i4>
      </vt:variant>
      <vt:variant>
        <vt:i4>5</vt:i4>
      </vt:variant>
      <vt:variant>
        <vt:lpwstr/>
      </vt:variant>
      <vt:variant>
        <vt:lpwstr>_Toc152862656</vt:lpwstr>
      </vt:variant>
      <vt:variant>
        <vt:i4>1900595</vt:i4>
      </vt:variant>
      <vt:variant>
        <vt:i4>386</vt:i4>
      </vt:variant>
      <vt:variant>
        <vt:i4>0</vt:i4>
      </vt:variant>
      <vt:variant>
        <vt:i4>5</vt:i4>
      </vt:variant>
      <vt:variant>
        <vt:lpwstr/>
      </vt:variant>
      <vt:variant>
        <vt:lpwstr>_Toc152862655</vt:lpwstr>
      </vt:variant>
      <vt:variant>
        <vt:i4>1900595</vt:i4>
      </vt:variant>
      <vt:variant>
        <vt:i4>380</vt:i4>
      </vt:variant>
      <vt:variant>
        <vt:i4>0</vt:i4>
      </vt:variant>
      <vt:variant>
        <vt:i4>5</vt:i4>
      </vt:variant>
      <vt:variant>
        <vt:lpwstr/>
      </vt:variant>
      <vt:variant>
        <vt:lpwstr>_Toc152862654</vt:lpwstr>
      </vt:variant>
      <vt:variant>
        <vt:i4>1900595</vt:i4>
      </vt:variant>
      <vt:variant>
        <vt:i4>374</vt:i4>
      </vt:variant>
      <vt:variant>
        <vt:i4>0</vt:i4>
      </vt:variant>
      <vt:variant>
        <vt:i4>5</vt:i4>
      </vt:variant>
      <vt:variant>
        <vt:lpwstr/>
      </vt:variant>
      <vt:variant>
        <vt:lpwstr>_Toc152862653</vt:lpwstr>
      </vt:variant>
      <vt:variant>
        <vt:i4>1900595</vt:i4>
      </vt:variant>
      <vt:variant>
        <vt:i4>368</vt:i4>
      </vt:variant>
      <vt:variant>
        <vt:i4>0</vt:i4>
      </vt:variant>
      <vt:variant>
        <vt:i4>5</vt:i4>
      </vt:variant>
      <vt:variant>
        <vt:lpwstr/>
      </vt:variant>
      <vt:variant>
        <vt:lpwstr>_Toc152862652</vt:lpwstr>
      </vt:variant>
      <vt:variant>
        <vt:i4>1900595</vt:i4>
      </vt:variant>
      <vt:variant>
        <vt:i4>362</vt:i4>
      </vt:variant>
      <vt:variant>
        <vt:i4>0</vt:i4>
      </vt:variant>
      <vt:variant>
        <vt:i4>5</vt:i4>
      </vt:variant>
      <vt:variant>
        <vt:lpwstr/>
      </vt:variant>
      <vt:variant>
        <vt:lpwstr>_Toc152862651</vt:lpwstr>
      </vt:variant>
      <vt:variant>
        <vt:i4>1900595</vt:i4>
      </vt:variant>
      <vt:variant>
        <vt:i4>356</vt:i4>
      </vt:variant>
      <vt:variant>
        <vt:i4>0</vt:i4>
      </vt:variant>
      <vt:variant>
        <vt:i4>5</vt:i4>
      </vt:variant>
      <vt:variant>
        <vt:lpwstr/>
      </vt:variant>
      <vt:variant>
        <vt:lpwstr>_Toc152862650</vt:lpwstr>
      </vt:variant>
      <vt:variant>
        <vt:i4>1835059</vt:i4>
      </vt:variant>
      <vt:variant>
        <vt:i4>350</vt:i4>
      </vt:variant>
      <vt:variant>
        <vt:i4>0</vt:i4>
      </vt:variant>
      <vt:variant>
        <vt:i4>5</vt:i4>
      </vt:variant>
      <vt:variant>
        <vt:lpwstr/>
      </vt:variant>
      <vt:variant>
        <vt:lpwstr>_Toc152862649</vt:lpwstr>
      </vt:variant>
      <vt:variant>
        <vt:i4>1835059</vt:i4>
      </vt:variant>
      <vt:variant>
        <vt:i4>344</vt:i4>
      </vt:variant>
      <vt:variant>
        <vt:i4>0</vt:i4>
      </vt:variant>
      <vt:variant>
        <vt:i4>5</vt:i4>
      </vt:variant>
      <vt:variant>
        <vt:lpwstr/>
      </vt:variant>
      <vt:variant>
        <vt:lpwstr>_Toc152862648</vt:lpwstr>
      </vt:variant>
      <vt:variant>
        <vt:i4>1835059</vt:i4>
      </vt:variant>
      <vt:variant>
        <vt:i4>338</vt:i4>
      </vt:variant>
      <vt:variant>
        <vt:i4>0</vt:i4>
      </vt:variant>
      <vt:variant>
        <vt:i4>5</vt:i4>
      </vt:variant>
      <vt:variant>
        <vt:lpwstr/>
      </vt:variant>
      <vt:variant>
        <vt:lpwstr>_Toc152862647</vt:lpwstr>
      </vt:variant>
      <vt:variant>
        <vt:i4>1835059</vt:i4>
      </vt:variant>
      <vt:variant>
        <vt:i4>332</vt:i4>
      </vt:variant>
      <vt:variant>
        <vt:i4>0</vt:i4>
      </vt:variant>
      <vt:variant>
        <vt:i4>5</vt:i4>
      </vt:variant>
      <vt:variant>
        <vt:lpwstr/>
      </vt:variant>
      <vt:variant>
        <vt:lpwstr>_Toc152862646</vt:lpwstr>
      </vt:variant>
      <vt:variant>
        <vt:i4>1835059</vt:i4>
      </vt:variant>
      <vt:variant>
        <vt:i4>326</vt:i4>
      </vt:variant>
      <vt:variant>
        <vt:i4>0</vt:i4>
      </vt:variant>
      <vt:variant>
        <vt:i4>5</vt:i4>
      </vt:variant>
      <vt:variant>
        <vt:lpwstr/>
      </vt:variant>
      <vt:variant>
        <vt:lpwstr>_Toc152862645</vt:lpwstr>
      </vt:variant>
      <vt:variant>
        <vt:i4>1835059</vt:i4>
      </vt:variant>
      <vt:variant>
        <vt:i4>320</vt:i4>
      </vt:variant>
      <vt:variant>
        <vt:i4>0</vt:i4>
      </vt:variant>
      <vt:variant>
        <vt:i4>5</vt:i4>
      </vt:variant>
      <vt:variant>
        <vt:lpwstr/>
      </vt:variant>
      <vt:variant>
        <vt:lpwstr>_Toc152862644</vt:lpwstr>
      </vt:variant>
      <vt:variant>
        <vt:i4>1835059</vt:i4>
      </vt:variant>
      <vt:variant>
        <vt:i4>314</vt:i4>
      </vt:variant>
      <vt:variant>
        <vt:i4>0</vt:i4>
      </vt:variant>
      <vt:variant>
        <vt:i4>5</vt:i4>
      </vt:variant>
      <vt:variant>
        <vt:lpwstr/>
      </vt:variant>
      <vt:variant>
        <vt:lpwstr>_Toc152862643</vt:lpwstr>
      </vt:variant>
      <vt:variant>
        <vt:i4>1835059</vt:i4>
      </vt:variant>
      <vt:variant>
        <vt:i4>308</vt:i4>
      </vt:variant>
      <vt:variant>
        <vt:i4>0</vt:i4>
      </vt:variant>
      <vt:variant>
        <vt:i4>5</vt:i4>
      </vt:variant>
      <vt:variant>
        <vt:lpwstr/>
      </vt:variant>
      <vt:variant>
        <vt:lpwstr>_Toc152862642</vt:lpwstr>
      </vt:variant>
      <vt:variant>
        <vt:i4>1835059</vt:i4>
      </vt:variant>
      <vt:variant>
        <vt:i4>302</vt:i4>
      </vt:variant>
      <vt:variant>
        <vt:i4>0</vt:i4>
      </vt:variant>
      <vt:variant>
        <vt:i4>5</vt:i4>
      </vt:variant>
      <vt:variant>
        <vt:lpwstr/>
      </vt:variant>
      <vt:variant>
        <vt:lpwstr>_Toc152862641</vt:lpwstr>
      </vt:variant>
      <vt:variant>
        <vt:i4>1835059</vt:i4>
      </vt:variant>
      <vt:variant>
        <vt:i4>296</vt:i4>
      </vt:variant>
      <vt:variant>
        <vt:i4>0</vt:i4>
      </vt:variant>
      <vt:variant>
        <vt:i4>5</vt:i4>
      </vt:variant>
      <vt:variant>
        <vt:lpwstr/>
      </vt:variant>
      <vt:variant>
        <vt:lpwstr>_Toc152862640</vt:lpwstr>
      </vt:variant>
      <vt:variant>
        <vt:i4>1769523</vt:i4>
      </vt:variant>
      <vt:variant>
        <vt:i4>290</vt:i4>
      </vt:variant>
      <vt:variant>
        <vt:i4>0</vt:i4>
      </vt:variant>
      <vt:variant>
        <vt:i4>5</vt:i4>
      </vt:variant>
      <vt:variant>
        <vt:lpwstr/>
      </vt:variant>
      <vt:variant>
        <vt:lpwstr>_Toc152862639</vt:lpwstr>
      </vt:variant>
      <vt:variant>
        <vt:i4>1769523</vt:i4>
      </vt:variant>
      <vt:variant>
        <vt:i4>284</vt:i4>
      </vt:variant>
      <vt:variant>
        <vt:i4>0</vt:i4>
      </vt:variant>
      <vt:variant>
        <vt:i4>5</vt:i4>
      </vt:variant>
      <vt:variant>
        <vt:lpwstr/>
      </vt:variant>
      <vt:variant>
        <vt:lpwstr>_Toc152862638</vt:lpwstr>
      </vt:variant>
      <vt:variant>
        <vt:i4>1769523</vt:i4>
      </vt:variant>
      <vt:variant>
        <vt:i4>278</vt:i4>
      </vt:variant>
      <vt:variant>
        <vt:i4>0</vt:i4>
      </vt:variant>
      <vt:variant>
        <vt:i4>5</vt:i4>
      </vt:variant>
      <vt:variant>
        <vt:lpwstr/>
      </vt:variant>
      <vt:variant>
        <vt:lpwstr>_Toc152862637</vt:lpwstr>
      </vt:variant>
      <vt:variant>
        <vt:i4>1769523</vt:i4>
      </vt:variant>
      <vt:variant>
        <vt:i4>272</vt:i4>
      </vt:variant>
      <vt:variant>
        <vt:i4>0</vt:i4>
      </vt:variant>
      <vt:variant>
        <vt:i4>5</vt:i4>
      </vt:variant>
      <vt:variant>
        <vt:lpwstr/>
      </vt:variant>
      <vt:variant>
        <vt:lpwstr>_Toc152862636</vt:lpwstr>
      </vt:variant>
      <vt:variant>
        <vt:i4>1769523</vt:i4>
      </vt:variant>
      <vt:variant>
        <vt:i4>266</vt:i4>
      </vt:variant>
      <vt:variant>
        <vt:i4>0</vt:i4>
      </vt:variant>
      <vt:variant>
        <vt:i4>5</vt:i4>
      </vt:variant>
      <vt:variant>
        <vt:lpwstr/>
      </vt:variant>
      <vt:variant>
        <vt:lpwstr>_Toc152862635</vt:lpwstr>
      </vt:variant>
      <vt:variant>
        <vt:i4>1769523</vt:i4>
      </vt:variant>
      <vt:variant>
        <vt:i4>260</vt:i4>
      </vt:variant>
      <vt:variant>
        <vt:i4>0</vt:i4>
      </vt:variant>
      <vt:variant>
        <vt:i4>5</vt:i4>
      </vt:variant>
      <vt:variant>
        <vt:lpwstr/>
      </vt:variant>
      <vt:variant>
        <vt:lpwstr>_Toc152862634</vt:lpwstr>
      </vt:variant>
      <vt:variant>
        <vt:i4>1769523</vt:i4>
      </vt:variant>
      <vt:variant>
        <vt:i4>254</vt:i4>
      </vt:variant>
      <vt:variant>
        <vt:i4>0</vt:i4>
      </vt:variant>
      <vt:variant>
        <vt:i4>5</vt:i4>
      </vt:variant>
      <vt:variant>
        <vt:lpwstr/>
      </vt:variant>
      <vt:variant>
        <vt:lpwstr>_Toc152862633</vt:lpwstr>
      </vt:variant>
      <vt:variant>
        <vt:i4>1769523</vt:i4>
      </vt:variant>
      <vt:variant>
        <vt:i4>248</vt:i4>
      </vt:variant>
      <vt:variant>
        <vt:i4>0</vt:i4>
      </vt:variant>
      <vt:variant>
        <vt:i4>5</vt:i4>
      </vt:variant>
      <vt:variant>
        <vt:lpwstr/>
      </vt:variant>
      <vt:variant>
        <vt:lpwstr>_Toc152862632</vt:lpwstr>
      </vt:variant>
      <vt:variant>
        <vt:i4>1769523</vt:i4>
      </vt:variant>
      <vt:variant>
        <vt:i4>242</vt:i4>
      </vt:variant>
      <vt:variant>
        <vt:i4>0</vt:i4>
      </vt:variant>
      <vt:variant>
        <vt:i4>5</vt:i4>
      </vt:variant>
      <vt:variant>
        <vt:lpwstr/>
      </vt:variant>
      <vt:variant>
        <vt:lpwstr>_Toc152862631</vt:lpwstr>
      </vt:variant>
      <vt:variant>
        <vt:i4>1769523</vt:i4>
      </vt:variant>
      <vt:variant>
        <vt:i4>236</vt:i4>
      </vt:variant>
      <vt:variant>
        <vt:i4>0</vt:i4>
      </vt:variant>
      <vt:variant>
        <vt:i4>5</vt:i4>
      </vt:variant>
      <vt:variant>
        <vt:lpwstr/>
      </vt:variant>
      <vt:variant>
        <vt:lpwstr>_Toc152862630</vt:lpwstr>
      </vt:variant>
      <vt:variant>
        <vt:i4>1703987</vt:i4>
      </vt:variant>
      <vt:variant>
        <vt:i4>230</vt:i4>
      </vt:variant>
      <vt:variant>
        <vt:i4>0</vt:i4>
      </vt:variant>
      <vt:variant>
        <vt:i4>5</vt:i4>
      </vt:variant>
      <vt:variant>
        <vt:lpwstr/>
      </vt:variant>
      <vt:variant>
        <vt:lpwstr>_Toc152862629</vt:lpwstr>
      </vt:variant>
      <vt:variant>
        <vt:i4>1703987</vt:i4>
      </vt:variant>
      <vt:variant>
        <vt:i4>224</vt:i4>
      </vt:variant>
      <vt:variant>
        <vt:i4>0</vt:i4>
      </vt:variant>
      <vt:variant>
        <vt:i4>5</vt:i4>
      </vt:variant>
      <vt:variant>
        <vt:lpwstr/>
      </vt:variant>
      <vt:variant>
        <vt:lpwstr>_Toc152862628</vt:lpwstr>
      </vt:variant>
      <vt:variant>
        <vt:i4>1703987</vt:i4>
      </vt:variant>
      <vt:variant>
        <vt:i4>218</vt:i4>
      </vt:variant>
      <vt:variant>
        <vt:i4>0</vt:i4>
      </vt:variant>
      <vt:variant>
        <vt:i4>5</vt:i4>
      </vt:variant>
      <vt:variant>
        <vt:lpwstr/>
      </vt:variant>
      <vt:variant>
        <vt:lpwstr>_Toc152862627</vt:lpwstr>
      </vt:variant>
      <vt:variant>
        <vt:i4>1703987</vt:i4>
      </vt:variant>
      <vt:variant>
        <vt:i4>212</vt:i4>
      </vt:variant>
      <vt:variant>
        <vt:i4>0</vt:i4>
      </vt:variant>
      <vt:variant>
        <vt:i4>5</vt:i4>
      </vt:variant>
      <vt:variant>
        <vt:lpwstr/>
      </vt:variant>
      <vt:variant>
        <vt:lpwstr>_Toc152862626</vt:lpwstr>
      </vt:variant>
      <vt:variant>
        <vt:i4>1703987</vt:i4>
      </vt:variant>
      <vt:variant>
        <vt:i4>206</vt:i4>
      </vt:variant>
      <vt:variant>
        <vt:i4>0</vt:i4>
      </vt:variant>
      <vt:variant>
        <vt:i4>5</vt:i4>
      </vt:variant>
      <vt:variant>
        <vt:lpwstr/>
      </vt:variant>
      <vt:variant>
        <vt:lpwstr>_Toc152862625</vt:lpwstr>
      </vt:variant>
      <vt:variant>
        <vt:i4>1703987</vt:i4>
      </vt:variant>
      <vt:variant>
        <vt:i4>200</vt:i4>
      </vt:variant>
      <vt:variant>
        <vt:i4>0</vt:i4>
      </vt:variant>
      <vt:variant>
        <vt:i4>5</vt:i4>
      </vt:variant>
      <vt:variant>
        <vt:lpwstr/>
      </vt:variant>
      <vt:variant>
        <vt:lpwstr>_Toc152862624</vt:lpwstr>
      </vt:variant>
      <vt:variant>
        <vt:i4>1703987</vt:i4>
      </vt:variant>
      <vt:variant>
        <vt:i4>194</vt:i4>
      </vt:variant>
      <vt:variant>
        <vt:i4>0</vt:i4>
      </vt:variant>
      <vt:variant>
        <vt:i4>5</vt:i4>
      </vt:variant>
      <vt:variant>
        <vt:lpwstr/>
      </vt:variant>
      <vt:variant>
        <vt:lpwstr>_Toc152862623</vt:lpwstr>
      </vt:variant>
      <vt:variant>
        <vt:i4>1703987</vt:i4>
      </vt:variant>
      <vt:variant>
        <vt:i4>188</vt:i4>
      </vt:variant>
      <vt:variant>
        <vt:i4>0</vt:i4>
      </vt:variant>
      <vt:variant>
        <vt:i4>5</vt:i4>
      </vt:variant>
      <vt:variant>
        <vt:lpwstr/>
      </vt:variant>
      <vt:variant>
        <vt:lpwstr>_Toc152862622</vt:lpwstr>
      </vt:variant>
      <vt:variant>
        <vt:i4>1703987</vt:i4>
      </vt:variant>
      <vt:variant>
        <vt:i4>182</vt:i4>
      </vt:variant>
      <vt:variant>
        <vt:i4>0</vt:i4>
      </vt:variant>
      <vt:variant>
        <vt:i4>5</vt:i4>
      </vt:variant>
      <vt:variant>
        <vt:lpwstr/>
      </vt:variant>
      <vt:variant>
        <vt:lpwstr>_Toc152862621</vt:lpwstr>
      </vt:variant>
      <vt:variant>
        <vt:i4>1703987</vt:i4>
      </vt:variant>
      <vt:variant>
        <vt:i4>176</vt:i4>
      </vt:variant>
      <vt:variant>
        <vt:i4>0</vt:i4>
      </vt:variant>
      <vt:variant>
        <vt:i4>5</vt:i4>
      </vt:variant>
      <vt:variant>
        <vt:lpwstr/>
      </vt:variant>
      <vt:variant>
        <vt:lpwstr>_Toc152862620</vt:lpwstr>
      </vt:variant>
      <vt:variant>
        <vt:i4>1638451</vt:i4>
      </vt:variant>
      <vt:variant>
        <vt:i4>170</vt:i4>
      </vt:variant>
      <vt:variant>
        <vt:i4>0</vt:i4>
      </vt:variant>
      <vt:variant>
        <vt:i4>5</vt:i4>
      </vt:variant>
      <vt:variant>
        <vt:lpwstr/>
      </vt:variant>
      <vt:variant>
        <vt:lpwstr>_Toc152862619</vt:lpwstr>
      </vt:variant>
      <vt:variant>
        <vt:i4>1638451</vt:i4>
      </vt:variant>
      <vt:variant>
        <vt:i4>164</vt:i4>
      </vt:variant>
      <vt:variant>
        <vt:i4>0</vt:i4>
      </vt:variant>
      <vt:variant>
        <vt:i4>5</vt:i4>
      </vt:variant>
      <vt:variant>
        <vt:lpwstr/>
      </vt:variant>
      <vt:variant>
        <vt:lpwstr>_Toc152862618</vt:lpwstr>
      </vt:variant>
      <vt:variant>
        <vt:i4>1638451</vt:i4>
      </vt:variant>
      <vt:variant>
        <vt:i4>158</vt:i4>
      </vt:variant>
      <vt:variant>
        <vt:i4>0</vt:i4>
      </vt:variant>
      <vt:variant>
        <vt:i4>5</vt:i4>
      </vt:variant>
      <vt:variant>
        <vt:lpwstr/>
      </vt:variant>
      <vt:variant>
        <vt:lpwstr>_Toc152862617</vt:lpwstr>
      </vt:variant>
      <vt:variant>
        <vt:i4>1638451</vt:i4>
      </vt:variant>
      <vt:variant>
        <vt:i4>152</vt:i4>
      </vt:variant>
      <vt:variant>
        <vt:i4>0</vt:i4>
      </vt:variant>
      <vt:variant>
        <vt:i4>5</vt:i4>
      </vt:variant>
      <vt:variant>
        <vt:lpwstr/>
      </vt:variant>
      <vt:variant>
        <vt:lpwstr>_Toc152862616</vt:lpwstr>
      </vt:variant>
      <vt:variant>
        <vt:i4>1638451</vt:i4>
      </vt:variant>
      <vt:variant>
        <vt:i4>146</vt:i4>
      </vt:variant>
      <vt:variant>
        <vt:i4>0</vt:i4>
      </vt:variant>
      <vt:variant>
        <vt:i4>5</vt:i4>
      </vt:variant>
      <vt:variant>
        <vt:lpwstr/>
      </vt:variant>
      <vt:variant>
        <vt:lpwstr>_Toc152862615</vt:lpwstr>
      </vt:variant>
      <vt:variant>
        <vt:i4>1638451</vt:i4>
      </vt:variant>
      <vt:variant>
        <vt:i4>140</vt:i4>
      </vt:variant>
      <vt:variant>
        <vt:i4>0</vt:i4>
      </vt:variant>
      <vt:variant>
        <vt:i4>5</vt:i4>
      </vt:variant>
      <vt:variant>
        <vt:lpwstr/>
      </vt:variant>
      <vt:variant>
        <vt:lpwstr>_Toc152862614</vt:lpwstr>
      </vt:variant>
      <vt:variant>
        <vt:i4>1638451</vt:i4>
      </vt:variant>
      <vt:variant>
        <vt:i4>134</vt:i4>
      </vt:variant>
      <vt:variant>
        <vt:i4>0</vt:i4>
      </vt:variant>
      <vt:variant>
        <vt:i4>5</vt:i4>
      </vt:variant>
      <vt:variant>
        <vt:lpwstr/>
      </vt:variant>
      <vt:variant>
        <vt:lpwstr>_Toc152862613</vt:lpwstr>
      </vt:variant>
      <vt:variant>
        <vt:i4>1638451</vt:i4>
      </vt:variant>
      <vt:variant>
        <vt:i4>128</vt:i4>
      </vt:variant>
      <vt:variant>
        <vt:i4>0</vt:i4>
      </vt:variant>
      <vt:variant>
        <vt:i4>5</vt:i4>
      </vt:variant>
      <vt:variant>
        <vt:lpwstr/>
      </vt:variant>
      <vt:variant>
        <vt:lpwstr>_Toc152862612</vt:lpwstr>
      </vt:variant>
      <vt:variant>
        <vt:i4>1638451</vt:i4>
      </vt:variant>
      <vt:variant>
        <vt:i4>122</vt:i4>
      </vt:variant>
      <vt:variant>
        <vt:i4>0</vt:i4>
      </vt:variant>
      <vt:variant>
        <vt:i4>5</vt:i4>
      </vt:variant>
      <vt:variant>
        <vt:lpwstr/>
      </vt:variant>
      <vt:variant>
        <vt:lpwstr>_Toc152862611</vt:lpwstr>
      </vt:variant>
      <vt:variant>
        <vt:i4>1638451</vt:i4>
      </vt:variant>
      <vt:variant>
        <vt:i4>116</vt:i4>
      </vt:variant>
      <vt:variant>
        <vt:i4>0</vt:i4>
      </vt:variant>
      <vt:variant>
        <vt:i4>5</vt:i4>
      </vt:variant>
      <vt:variant>
        <vt:lpwstr/>
      </vt:variant>
      <vt:variant>
        <vt:lpwstr>_Toc152862610</vt:lpwstr>
      </vt:variant>
      <vt:variant>
        <vt:i4>1572915</vt:i4>
      </vt:variant>
      <vt:variant>
        <vt:i4>110</vt:i4>
      </vt:variant>
      <vt:variant>
        <vt:i4>0</vt:i4>
      </vt:variant>
      <vt:variant>
        <vt:i4>5</vt:i4>
      </vt:variant>
      <vt:variant>
        <vt:lpwstr/>
      </vt:variant>
      <vt:variant>
        <vt:lpwstr>_Toc152862609</vt:lpwstr>
      </vt:variant>
      <vt:variant>
        <vt:i4>1572915</vt:i4>
      </vt:variant>
      <vt:variant>
        <vt:i4>104</vt:i4>
      </vt:variant>
      <vt:variant>
        <vt:i4>0</vt:i4>
      </vt:variant>
      <vt:variant>
        <vt:i4>5</vt:i4>
      </vt:variant>
      <vt:variant>
        <vt:lpwstr/>
      </vt:variant>
      <vt:variant>
        <vt:lpwstr>_Toc152862608</vt:lpwstr>
      </vt:variant>
      <vt:variant>
        <vt:i4>1572915</vt:i4>
      </vt:variant>
      <vt:variant>
        <vt:i4>98</vt:i4>
      </vt:variant>
      <vt:variant>
        <vt:i4>0</vt:i4>
      </vt:variant>
      <vt:variant>
        <vt:i4>5</vt:i4>
      </vt:variant>
      <vt:variant>
        <vt:lpwstr/>
      </vt:variant>
      <vt:variant>
        <vt:lpwstr>_Toc152862607</vt:lpwstr>
      </vt:variant>
      <vt:variant>
        <vt:i4>1572915</vt:i4>
      </vt:variant>
      <vt:variant>
        <vt:i4>92</vt:i4>
      </vt:variant>
      <vt:variant>
        <vt:i4>0</vt:i4>
      </vt:variant>
      <vt:variant>
        <vt:i4>5</vt:i4>
      </vt:variant>
      <vt:variant>
        <vt:lpwstr/>
      </vt:variant>
      <vt:variant>
        <vt:lpwstr>_Toc152862606</vt:lpwstr>
      </vt:variant>
      <vt:variant>
        <vt:i4>1572915</vt:i4>
      </vt:variant>
      <vt:variant>
        <vt:i4>86</vt:i4>
      </vt:variant>
      <vt:variant>
        <vt:i4>0</vt:i4>
      </vt:variant>
      <vt:variant>
        <vt:i4>5</vt:i4>
      </vt:variant>
      <vt:variant>
        <vt:lpwstr/>
      </vt:variant>
      <vt:variant>
        <vt:lpwstr>_Toc152862605</vt:lpwstr>
      </vt:variant>
      <vt:variant>
        <vt:i4>1572915</vt:i4>
      </vt:variant>
      <vt:variant>
        <vt:i4>80</vt:i4>
      </vt:variant>
      <vt:variant>
        <vt:i4>0</vt:i4>
      </vt:variant>
      <vt:variant>
        <vt:i4>5</vt:i4>
      </vt:variant>
      <vt:variant>
        <vt:lpwstr/>
      </vt:variant>
      <vt:variant>
        <vt:lpwstr>_Toc152862604</vt:lpwstr>
      </vt:variant>
      <vt:variant>
        <vt:i4>1572915</vt:i4>
      </vt:variant>
      <vt:variant>
        <vt:i4>74</vt:i4>
      </vt:variant>
      <vt:variant>
        <vt:i4>0</vt:i4>
      </vt:variant>
      <vt:variant>
        <vt:i4>5</vt:i4>
      </vt:variant>
      <vt:variant>
        <vt:lpwstr/>
      </vt:variant>
      <vt:variant>
        <vt:lpwstr>_Toc152862603</vt:lpwstr>
      </vt:variant>
      <vt:variant>
        <vt:i4>1572915</vt:i4>
      </vt:variant>
      <vt:variant>
        <vt:i4>68</vt:i4>
      </vt:variant>
      <vt:variant>
        <vt:i4>0</vt:i4>
      </vt:variant>
      <vt:variant>
        <vt:i4>5</vt:i4>
      </vt:variant>
      <vt:variant>
        <vt:lpwstr/>
      </vt:variant>
      <vt:variant>
        <vt:lpwstr>_Toc152862602</vt:lpwstr>
      </vt:variant>
      <vt:variant>
        <vt:i4>1572915</vt:i4>
      </vt:variant>
      <vt:variant>
        <vt:i4>62</vt:i4>
      </vt:variant>
      <vt:variant>
        <vt:i4>0</vt:i4>
      </vt:variant>
      <vt:variant>
        <vt:i4>5</vt:i4>
      </vt:variant>
      <vt:variant>
        <vt:lpwstr/>
      </vt:variant>
      <vt:variant>
        <vt:lpwstr>_Toc152862601</vt:lpwstr>
      </vt:variant>
      <vt:variant>
        <vt:i4>1572915</vt:i4>
      </vt:variant>
      <vt:variant>
        <vt:i4>56</vt:i4>
      </vt:variant>
      <vt:variant>
        <vt:i4>0</vt:i4>
      </vt:variant>
      <vt:variant>
        <vt:i4>5</vt:i4>
      </vt:variant>
      <vt:variant>
        <vt:lpwstr/>
      </vt:variant>
      <vt:variant>
        <vt:lpwstr>_Toc152862600</vt:lpwstr>
      </vt:variant>
      <vt:variant>
        <vt:i4>1114160</vt:i4>
      </vt:variant>
      <vt:variant>
        <vt:i4>50</vt:i4>
      </vt:variant>
      <vt:variant>
        <vt:i4>0</vt:i4>
      </vt:variant>
      <vt:variant>
        <vt:i4>5</vt:i4>
      </vt:variant>
      <vt:variant>
        <vt:lpwstr/>
      </vt:variant>
      <vt:variant>
        <vt:lpwstr>_Toc152862599</vt:lpwstr>
      </vt:variant>
      <vt:variant>
        <vt:i4>1114160</vt:i4>
      </vt:variant>
      <vt:variant>
        <vt:i4>44</vt:i4>
      </vt:variant>
      <vt:variant>
        <vt:i4>0</vt:i4>
      </vt:variant>
      <vt:variant>
        <vt:i4>5</vt:i4>
      </vt:variant>
      <vt:variant>
        <vt:lpwstr/>
      </vt:variant>
      <vt:variant>
        <vt:lpwstr>_Toc152862598</vt:lpwstr>
      </vt:variant>
      <vt:variant>
        <vt:i4>1114160</vt:i4>
      </vt:variant>
      <vt:variant>
        <vt:i4>38</vt:i4>
      </vt:variant>
      <vt:variant>
        <vt:i4>0</vt:i4>
      </vt:variant>
      <vt:variant>
        <vt:i4>5</vt:i4>
      </vt:variant>
      <vt:variant>
        <vt:lpwstr/>
      </vt:variant>
      <vt:variant>
        <vt:lpwstr>_Toc152862597</vt:lpwstr>
      </vt:variant>
      <vt:variant>
        <vt:i4>1114160</vt:i4>
      </vt:variant>
      <vt:variant>
        <vt:i4>32</vt:i4>
      </vt:variant>
      <vt:variant>
        <vt:i4>0</vt:i4>
      </vt:variant>
      <vt:variant>
        <vt:i4>5</vt:i4>
      </vt:variant>
      <vt:variant>
        <vt:lpwstr/>
      </vt:variant>
      <vt:variant>
        <vt:lpwstr>_Toc152862596</vt:lpwstr>
      </vt:variant>
      <vt:variant>
        <vt:i4>1114160</vt:i4>
      </vt:variant>
      <vt:variant>
        <vt:i4>26</vt:i4>
      </vt:variant>
      <vt:variant>
        <vt:i4>0</vt:i4>
      </vt:variant>
      <vt:variant>
        <vt:i4>5</vt:i4>
      </vt:variant>
      <vt:variant>
        <vt:lpwstr/>
      </vt:variant>
      <vt:variant>
        <vt:lpwstr>_Toc152862595</vt:lpwstr>
      </vt:variant>
      <vt:variant>
        <vt:i4>1114160</vt:i4>
      </vt:variant>
      <vt:variant>
        <vt:i4>20</vt:i4>
      </vt:variant>
      <vt:variant>
        <vt:i4>0</vt:i4>
      </vt:variant>
      <vt:variant>
        <vt:i4>5</vt:i4>
      </vt:variant>
      <vt:variant>
        <vt:lpwstr/>
      </vt:variant>
      <vt:variant>
        <vt:lpwstr>_Toc152862594</vt:lpwstr>
      </vt:variant>
      <vt:variant>
        <vt:i4>1114160</vt:i4>
      </vt:variant>
      <vt:variant>
        <vt:i4>14</vt:i4>
      </vt:variant>
      <vt:variant>
        <vt:i4>0</vt:i4>
      </vt:variant>
      <vt:variant>
        <vt:i4>5</vt:i4>
      </vt:variant>
      <vt:variant>
        <vt:lpwstr/>
      </vt:variant>
      <vt:variant>
        <vt:lpwstr>_Toc152862593</vt:lpwstr>
      </vt:variant>
      <vt:variant>
        <vt:i4>1114160</vt:i4>
      </vt:variant>
      <vt:variant>
        <vt:i4>8</vt:i4>
      </vt:variant>
      <vt:variant>
        <vt:i4>0</vt:i4>
      </vt:variant>
      <vt:variant>
        <vt:i4>5</vt:i4>
      </vt:variant>
      <vt:variant>
        <vt:lpwstr/>
      </vt:variant>
      <vt:variant>
        <vt:lpwstr>_Toc152862592</vt:lpwstr>
      </vt:variant>
      <vt:variant>
        <vt:i4>1114160</vt:i4>
      </vt:variant>
      <vt:variant>
        <vt:i4>2</vt:i4>
      </vt:variant>
      <vt:variant>
        <vt:i4>0</vt:i4>
      </vt:variant>
      <vt:variant>
        <vt:i4>5</vt:i4>
      </vt:variant>
      <vt:variant>
        <vt:lpwstr/>
      </vt:variant>
      <vt:variant>
        <vt:lpwstr>_Toc152862591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Dimitrios Kontellis</dc:creator>
  <cp:keywords/>
  <cp:lastModifiedBy>Oleg Shmeljov</cp:lastModifiedBy>
  <cp:revision>31</cp:revision>
  <dcterms:created xsi:type="dcterms:W3CDTF">2026-03-12T14:46:00Z</dcterms:created>
  <dcterms:modified xsi:type="dcterms:W3CDTF">2026-03-25T12:46:00Z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0x0101003ACA5DD4C831574089FB0AE5E8C4C690</vt:lpwstr>
  </property>
  <property fmtid="{D5CDD505-2E9C-101B-9397-08002B2CF9AE}" pid="3" name="ClassificationContentMarkingHeaderShapeIds">
    <vt:lpwstr>4265d036,70f192ff,36d35794,721b8de2</vt:lpwstr>
  </property>
  <property fmtid="{D5CDD505-2E9C-101B-9397-08002B2CF9AE}" pid="4" name="ClassificationContentMarkingHeaderFontProps">
    <vt:lpwstr>#000000,10,Aptos</vt:lpwstr>
  </property>
  <property fmtid="{D5CDD505-2E9C-101B-9397-08002B2CF9AE}" pid="5" name="ClassificationContentMarkingHeaderText">
    <vt:lpwstr>ECB-RESTRICTED</vt:lpwstr>
  </property>
  <property fmtid="{D5CDD505-2E9C-101B-9397-08002B2CF9AE}" pid="6" name="MSIP_Label_23da18b0-dae3-4c1e-8278-86f688a3028c_Enabled">
    <vt:lpwstr>true</vt:lpwstr>
  </property>
  <property fmtid="{D5CDD505-2E9C-101B-9397-08002B2CF9AE}" pid="7" name="MSIP_Label_23da18b0-dae3-4c1e-8278-86f688a3028c_SetDate">
    <vt:lpwstr>2026-02-04T09:36:07Z</vt:lpwstr>
  </property>
  <property fmtid="{D5CDD505-2E9C-101B-9397-08002B2CF9AE}" pid="8" name="MSIP_Label_23da18b0-dae3-4c1e-8278-86f688a3028c_Method">
    <vt:lpwstr>Privileged</vt:lpwstr>
  </property>
  <property fmtid="{D5CDD505-2E9C-101B-9397-08002B2CF9AE}" pid="9" name="MSIP_Label_23da18b0-dae3-4c1e-8278-86f688a3028c_Name">
    <vt:lpwstr>ECB-RESTRICTED</vt:lpwstr>
  </property>
  <property fmtid="{D5CDD505-2E9C-101B-9397-08002B2CF9AE}" pid="10" name="MSIP_Label_23da18b0-dae3-4c1e-8278-86f688a3028c_SiteId">
    <vt:lpwstr>b84ee435-4816-49d2-8d92-e740dbda4064</vt:lpwstr>
  </property>
  <property fmtid="{D5CDD505-2E9C-101B-9397-08002B2CF9AE}" pid="11" name="MSIP_Label_23da18b0-dae3-4c1e-8278-86f688a3028c_ActionId">
    <vt:lpwstr>d8283a8d-4655-4a68-b85d-be5218a88f3c</vt:lpwstr>
  </property>
  <property fmtid="{D5CDD505-2E9C-101B-9397-08002B2CF9AE}" pid="12" name="MSIP_Label_23da18b0-dae3-4c1e-8278-86f688a3028c_ContentBits">
    <vt:lpwstr>1</vt:lpwstr>
  </property>
  <property fmtid="{D5CDD505-2E9C-101B-9397-08002B2CF9AE}" pid="13" name="Order">
    <vt:r8>82100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MSIP_Label_a800b938-0f94-495d-980a-648844de8a9f_Enabled">
    <vt:lpwstr>true</vt:lpwstr>
  </property>
  <property fmtid="{D5CDD505-2E9C-101B-9397-08002B2CF9AE}" pid="21" name="MSIP_Label_a800b938-0f94-495d-980a-648844de8a9f_SetDate">
    <vt:lpwstr>2026-02-24T11:25:17Z</vt:lpwstr>
  </property>
  <property fmtid="{D5CDD505-2E9C-101B-9397-08002B2CF9AE}" pid="22" name="MSIP_Label_a800b938-0f94-495d-980a-648844de8a9f_Method">
    <vt:lpwstr>Standard</vt:lpwstr>
  </property>
  <property fmtid="{D5CDD505-2E9C-101B-9397-08002B2CF9AE}" pid="23" name="MSIP_Label_a800b938-0f94-495d-980a-648844de8a9f_Name">
    <vt:lpwstr>ECB-RESTRICTED</vt:lpwstr>
  </property>
  <property fmtid="{D5CDD505-2E9C-101B-9397-08002B2CF9AE}" pid="24" name="MSIP_Label_a800b938-0f94-495d-980a-648844de8a9f_SiteId">
    <vt:lpwstr>dabae695-3d3b-4e5d-ab49-009605ba5c68</vt:lpwstr>
  </property>
  <property fmtid="{D5CDD505-2E9C-101B-9397-08002B2CF9AE}" pid="25" name="MSIP_Label_a800b938-0f94-495d-980a-648844de8a9f_ActionId">
    <vt:lpwstr>bca20eb3-e09d-464f-8a35-515e50c84298</vt:lpwstr>
  </property>
  <property fmtid="{D5CDD505-2E9C-101B-9397-08002B2CF9AE}" pid="26" name="MSIP_Label_a800b938-0f94-495d-980a-648844de8a9f_ContentBits">
    <vt:lpwstr>1</vt:lpwstr>
  </property>
  <property fmtid="{D5CDD505-2E9C-101B-9397-08002B2CF9AE}" pid="27" name="MSIP_Label_a800b938-0f94-495d-980a-648844de8a9f_Tag">
    <vt:lpwstr>10, 1, 2, 1</vt:lpwstr>
  </property>
  <property fmtid="{D5CDD505-2E9C-101B-9397-08002B2CF9AE}" pid="28" name="ERMSSecurityClassification">
    <vt:lpwstr>2;#EBA Regular Use|1beb7b00-08f6-4d2a-ade7-bc527fe9cdf9</vt:lpwstr>
  </property>
  <property fmtid="{D5CDD505-2E9C-101B-9397-08002B2CF9AE}" pid="29" name="MediaServiceImageTags">
    <vt:lpwstr/>
  </property>
  <property fmtid="{D5CDD505-2E9C-101B-9397-08002B2CF9AE}" pid="30" name="ERMSBusinessArea">
    <vt:lpwstr/>
  </property>
  <property fmtid="{D5CDD505-2E9C-101B-9397-08002B2CF9AE}" pid="31" name="ERMSEBA Subject">
    <vt:lpwstr>1;#Governing Bodies|24d00d65-121d-40f5-ae3c-b2f6cb1454f0</vt:lpwstr>
  </property>
  <property fmtid="{D5CDD505-2E9C-101B-9397-08002B2CF9AE}" pid="32" name="docLang">
    <vt:lpwstr>en</vt:lpwstr>
  </property>
  <property fmtid="{D5CDD505-2E9C-101B-9397-08002B2CF9AE}" pid="33" name="ERMSDocumentType">
    <vt:lpwstr/>
  </property>
  <property fmtid="{D5CDD505-2E9C-101B-9397-08002B2CF9AE}" pid="34" name="ERMSTaxonomy">
    <vt:lpwstr>3;#0110-05 Board of Supervisors|eedf81b3-ede6-49ba-86e2-974eacc79383</vt:lpwstr>
  </property>
  <property fmtid="{D5CDD505-2E9C-101B-9397-08002B2CF9AE}" pid="35" name="_dlc_DocIdItemGuid">
    <vt:lpwstr>dd1519a1-8679-40d1-adbf-5509539a5419</vt:lpwstr>
  </property>
  <property fmtid="{D5CDD505-2E9C-101B-9397-08002B2CF9AE}" pid="36" name="ERMSEBA_x0020_Subject">
    <vt:lpwstr>1;#Governing Bodies|24d00d65-121d-40f5-ae3c-b2f6cb1454f0</vt:lpwstr>
  </property>
</Properties>
</file>